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4132" w:type="dxa"/>
        <w:tblInd w:w="-572" w:type="dxa"/>
        <w:tblLook w:val="04A0" w:firstRow="1" w:lastRow="0" w:firstColumn="1" w:lastColumn="0" w:noHBand="0" w:noVBand="1"/>
      </w:tblPr>
      <w:tblGrid>
        <w:gridCol w:w="3533"/>
        <w:gridCol w:w="3533"/>
        <w:gridCol w:w="3533"/>
        <w:gridCol w:w="3533"/>
      </w:tblGrid>
      <w:tr w:rsidR="00AC27A1" w:rsidRPr="00AF0120" w14:paraId="05A9BC52" w14:textId="77777777" w:rsidTr="007132AF">
        <w:trPr>
          <w:trHeight w:val="265"/>
        </w:trPr>
        <w:tc>
          <w:tcPr>
            <w:tcW w:w="3533" w:type="dxa"/>
            <w:shd w:val="clear" w:color="auto" w:fill="EAF1DD" w:themeFill="accent3" w:themeFillTint="33"/>
          </w:tcPr>
          <w:p w14:paraId="3E87A9F0" w14:textId="60835C51" w:rsidR="00AC27A1" w:rsidRPr="007132AF" w:rsidRDefault="006D7C87" w:rsidP="007132AF">
            <w:pPr>
              <w:jc w:val="center"/>
              <w:rPr>
                <w:rFonts w:ascii="Arial" w:hAnsi="Arial" w:cs="Arial"/>
                <w:b/>
              </w:rPr>
            </w:pPr>
            <w:bookmarkStart w:id="0" w:name="_GoBack"/>
            <w:bookmarkEnd w:id="0"/>
            <w:r w:rsidRPr="007132AF">
              <w:rPr>
                <w:rFonts w:ascii="Arial" w:hAnsi="Arial" w:cs="Arial"/>
                <w:b/>
              </w:rPr>
              <w:t>Versión de consulta externa</w:t>
            </w:r>
            <w:r w:rsidR="0063448D">
              <w:rPr>
                <w:rStyle w:val="Refdenotaalpie"/>
                <w:rFonts w:ascii="Arial" w:hAnsi="Arial" w:cs="Arial"/>
                <w:b/>
              </w:rPr>
              <w:footnoteReference w:id="1"/>
            </w:r>
          </w:p>
        </w:tc>
        <w:tc>
          <w:tcPr>
            <w:tcW w:w="3533" w:type="dxa"/>
            <w:shd w:val="clear" w:color="auto" w:fill="EAF1DD" w:themeFill="accent3" w:themeFillTint="33"/>
          </w:tcPr>
          <w:p w14:paraId="758F2E28" w14:textId="47CE4236" w:rsidR="00AC27A1" w:rsidRPr="007132AF" w:rsidRDefault="00C332DD" w:rsidP="007132AF">
            <w:pPr>
              <w:jc w:val="center"/>
              <w:rPr>
                <w:rFonts w:ascii="Arial" w:hAnsi="Arial" w:cs="Arial"/>
                <w:b/>
              </w:rPr>
            </w:pPr>
            <w:r w:rsidRPr="007132AF">
              <w:rPr>
                <w:rFonts w:ascii="Arial" w:hAnsi="Arial" w:cs="Arial"/>
                <w:b/>
              </w:rPr>
              <w:t xml:space="preserve">Observaciones </w:t>
            </w:r>
          </w:p>
        </w:tc>
        <w:tc>
          <w:tcPr>
            <w:tcW w:w="3533" w:type="dxa"/>
            <w:shd w:val="clear" w:color="auto" w:fill="EAF1DD" w:themeFill="accent3" w:themeFillTint="33"/>
          </w:tcPr>
          <w:p w14:paraId="10EAA9CC" w14:textId="5A634F04" w:rsidR="00AC27A1" w:rsidRPr="007132AF" w:rsidRDefault="007132AF" w:rsidP="007132AF">
            <w:pPr>
              <w:jc w:val="center"/>
              <w:rPr>
                <w:rFonts w:ascii="Arial" w:hAnsi="Arial" w:cs="Arial"/>
                <w:b/>
              </w:rPr>
            </w:pPr>
            <w:r>
              <w:rPr>
                <w:rFonts w:ascii="Arial" w:hAnsi="Arial" w:cs="Arial"/>
                <w:b/>
              </w:rPr>
              <w:t>Atención de observaciones</w:t>
            </w:r>
          </w:p>
        </w:tc>
        <w:tc>
          <w:tcPr>
            <w:tcW w:w="3533" w:type="dxa"/>
            <w:shd w:val="clear" w:color="auto" w:fill="EAF1DD" w:themeFill="accent3" w:themeFillTint="33"/>
          </w:tcPr>
          <w:p w14:paraId="1580B4EE" w14:textId="5CD9A77F" w:rsidR="00AC27A1" w:rsidRPr="007132AF" w:rsidRDefault="006D7C87" w:rsidP="007132AF">
            <w:pPr>
              <w:jc w:val="center"/>
              <w:rPr>
                <w:rFonts w:ascii="Arial" w:hAnsi="Arial" w:cs="Arial"/>
                <w:b/>
              </w:rPr>
            </w:pPr>
            <w:r w:rsidRPr="007132AF">
              <w:rPr>
                <w:rFonts w:ascii="Arial" w:hAnsi="Arial" w:cs="Arial"/>
                <w:b/>
              </w:rPr>
              <w:t>Versión final</w:t>
            </w:r>
          </w:p>
        </w:tc>
      </w:tr>
      <w:tr w:rsidR="00864CA7" w:rsidRPr="00AF0120" w14:paraId="511B2635" w14:textId="77777777" w:rsidTr="00AC27A1">
        <w:trPr>
          <w:trHeight w:val="250"/>
        </w:trPr>
        <w:tc>
          <w:tcPr>
            <w:tcW w:w="3533" w:type="dxa"/>
          </w:tcPr>
          <w:p w14:paraId="7A9CD083" w14:textId="77777777" w:rsidR="00864CA7" w:rsidRPr="00AF0120" w:rsidRDefault="00864CA7" w:rsidP="00864CA7">
            <w:pPr>
              <w:jc w:val="center"/>
              <w:rPr>
                <w:rFonts w:ascii="Times New Roman" w:hAnsi="Times New Roman" w:cs="Times New Roman"/>
                <w:b/>
              </w:rPr>
            </w:pPr>
            <w:r w:rsidRPr="00AF0120">
              <w:rPr>
                <w:rFonts w:ascii="Times New Roman" w:hAnsi="Times New Roman" w:cs="Times New Roman"/>
                <w:b/>
              </w:rPr>
              <w:t>SP-A-049</w:t>
            </w:r>
          </w:p>
          <w:p w14:paraId="5BAA4F8F" w14:textId="5C02F168" w:rsidR="00864CA7" w:rsidRPr="00AF0120" w:rsidRDefault="00864CA7" w:rsidP="00864CA7">
            <w:pPr>
              <w:jc w:val="center"/>
              <w:rPr>
                <w:rFonts w:ascii="Times New Roman" w:hAnsi="Times New Roman" w:cs="Times New Roman"/>
                <w:b/>
              </w:rPr>
            </w:pPr>
            <w:r w:rsidRPr="00AF0120">
              <w:rPr>
                <w:rFonts w:ascii="Times New Roman" w:hAnsi="Times New Roman" w:cs="Times New Roman"/>
                <w:b/>
              </w:rPr>
              <w:t>DISPOSICIONES APLICABLES AL TRATAMIENTO DE LOS EXCESOS DE INVERSIÓN EN LOS FONDOS ADMINISTRADOS Y A LA PÉRDIDA DE REQUISITOS DE LOS VALORES ADQUIRIDOS Y DE LOS PROVEEDORES DE SERVICIOS</w:t>
            </w:r>
          </w:p>
        </w:tc>
        <w:tc>
          <w:tcPr>
            <w:tcW w:w="3533" w:type="dxa"/>
          </w:tcPr>
          <w:p w14:paraId="2FBAFC83" w14:textId="1AE86C90" w:rsidR="00864CA7" w:rsidRPr="00AF0120" w:rsidRDefault="00864CA7" w:rsidP="00864CA7">
            <w:pPr>
              <w:pStyle w:val="Default"/>
              <w:jc w:val="both"/>
              <w:rPr>
                <w:rFonts w:ascii="Times New Roman" w:hAnsi="Times New Roman" w:cs="Times New Roman"/>
                <w:sz w:val="22"/>
                <w:szCs w:val="22"/>
              </w:rPr>
            </w:pPr>
            <w:r w:rsidRPr="00AF0120">
              <w:rPr>
                <w:rFonts w:ascii="Times New Roman" w:hAnsi="Times New Roman" w:cs="Times New Roman"/>
                <w:sz w:val="22"/>
                <w:szCs w:val="22"/>
              </w:rPr>
              <w:t xml:space="preserve"> </w:t>
            </w:r>
          </w:p>
        </w:tc>
        <w:tc>
          <w:tcPr>
            <w:tcW w:w="3533" w:type="dxa"/>
          </w:tcPr>
          <w:p w14:paraId="33760615" w14:textId="77777777" w:rsidR="00864CA7" w:rsidRPr="00AF0120" w:rsidRDefault="00864CA7" w:rsidP="00864CA7">
            <w:pPr>
              <w:rPr>
                <w:rFonts w:ascii="Times New Roman" w:hAnsi="Times New Roman" w:cs="Times New Roman"/>
              </w:rPr>
            </w:pPr>
          </w:p>
        </w:tc>
        <w:tc>
          <w:tcPr>
            <w:tcW w:w="3533" w:type="dxa"/>
          </w:tcPr>
          <w:p w14:paraId="204917EB" w14:textId="77777777" w:rsidR="00864CA7" w:rsidRPr="00AF0120" w:rsidRDefault="00864CA7" w:rsidP="00864CA7">
            <w:pPr>
              <w:jc w:val="center"/>
              <w:rPr>
                <w:rFonts w:ascii="Times New Roman" w:hAnsi="Times New Roman" w:cs="Times New Roman"/>
                <w:b/>
              </w:rPr>
            </w:pPr>
            <w:r w:rsidRPr="00AF0120">
              <w:rPr>
                <w:rFonts w:ascii="Times New Roman" w:hAnsi="Times New Roman" w:cs="Times New Roman"/>
                <w:b/>
              </w:rPr>
              <w:t>SP-A-049</w:t>
            </w:r>
          </w:p>
          <w:p w14:paraId="51D41AF6" w14:textId="2F27652B" w:rsidR="00864CA7" w:rsidRPr="00AF0120" w:rsidRDefault="00864CA7" w:rsidP="00864CA7">
            <w:pPr>
              <w:rPr>
                <w:rFonts w:ascii="Times New Roman" w:hAnsi="Times New Roman" w:cs="Times New Roman"/>
              </w:rPr>
            </w:pPr>
            <w:r w:rsidRPr="00AF0120">
              <w:rPr>
                <w:rFonts w:ascii="Times New Roman" w:hAnsi="Times New Roman" w:cs="Times New Roman"/>
                <w:b/>
              </w:rPr>
              <w:t>DISPOSICIONES APLICABLES AL TRATAMIENTO DE LOS EXCESOS DE INVERSIÓN EN LOS FONDOS ADMINISTRADOS Y A LA PÉRDIDA DE REQUISITOS DE LOS VALORES ADQUIRIDOS Y DE LOS PROVEEDORES DE SERVICIOS</w:t>
            </w:r>
          </w:p>
        </w:tc>
      </w:tr>
      <w:tr w:rsidR="00864CA7" w:rsidRPr="00AF0120" w14:paraId="0CCF92D1" w14:textId="77777777" w:rsidTr="00AC27A1">
        <w:trPr>
          <w:trHeight w:val="265"/>
        </w:trPr>
        <w:tc>
          <w:tcPr>
            <w:tcW w:w="3533" w:type="dxa"/>
          </w:tcPr>
          <w:p w14:paraId="1995AD1A" w14:textId="1FA8A037" w:rsidR="00864CA7" w:rsidRPr="00AF0120" w:rsidRDefault="00864CA7" w:rsidP="00864CA7">
            <w:pPr>
              <w:jc w:val="center"/>
              <w:rPr>
                <w:rFonts w:ascii="Times New Roman" w:hAnsi="Times New Roman" w:cs="Times New Roman"/>
                <w:b/>
              </w:rPr>
            </w:pPr>
            <w:r w:rsidRPr="00AF0120">
              <w:rPr>
                <w:rFonts w:ascii="Times New Roman" w:hAnsi="Times New Roman" w:cs="Times New Roman"/>
                <w:b/>
              </w:rPr>
              <w:t>DISPOSICIONES GENERALES</w:t>
            </w:r>
          </w:p>
        </w:tc>
        <w:tc>
          <w:tcPr>
            <w:tcW w:w="3533" w:type="dxa"/>
          </w:tcPr>
          <w:p w14:paraId="1E1E7CDD" w14:textId="77777777" w:rsidR="00864CA7" w:rsidRPr="00AF0120" w:rsidRDefault="00864CA7" w:rsidP="00864CA7">
            <w:pPr>
              <w:jc w:val="both"/>
              <w:rPr>
                <w:rFonts w:ascii="Times New Roman" w:hAnsi="Times New Roman" w:cs="Times New Roman"/>
              </w:rPr>
            </w:pPr>
          </w:p>
        </w:tc>
        <w:tc>
          <w:tcPr>
            <w:tcW w:w="3533" w:type="dxa"/>
          </w:tcPr>
          <w:p w14:paraId="12A8E987" w14:textId="77777777" w:rsidR="00864CA7" w:rsidRPr="00AF0120" w:rsidRDefault="00864CA7" w:rsidP="00864CA7">
            <w:pPr>
              <w:rPr>
                <w:rFonts w:ascii="Times New Roman" w:hAnsi="Times New Roman" w:cs="Times New Roman"/>
              </w:rPr>
            </w:pPr>
          </w:p>
        </w:tc>
        <w:tc>
          <w:tcPr>
            <w:tcW w:w="3533" w:type="dxa"/>
          </w:tcPr>
          <w:p w14:paraId="75139F34" w14:textId="1560F173" w:rsidR="00864CA7" w:rsidRPr="00AF0120" w:rsidRDefault="00864CA7" w:rsidP="00864CA7">
            <w:pPr>
              <w:rPr>
                <w:rFonts w:ascii="Times New Roman" w:hAnsi="Times New Roman" w:cs="Times New Roman"/>
              </w:rPr>
            </w:pPr>
            <w:r w:rsidRPr="00AF0120">
              <w:rPr>
                <w:rFonts w:ascii="Times New Roman" w:hAnsi="Times New Roman" w:cs="Times New Roman"/>
                <w:b/>
              </w:rPr>
              <w:t>DISPOSICIONES GENERALES</w:t>
            </w:r>
          </w:p>
        </w:tc>
      </w:tr>
      <w:tr w:rsidR="00AC27A1" w:rsidRPr="00AF0120" w14:paraId="30984712" w14:textId="77777777" w:rsidTr="00AC27A1">
        <w:trPr>
          <w:trHeight w:val="250"/>
        </w:trPr>
        <w:tc>
          <w:tcPr>
            <w:tcW w:w="3533" w:type="dxa"/>
          </w:tcPr>
          <w:p w14:paraId="74985807" w14:textId="77777777" w:rsidR="006E39F3" w:rsidRPr="00AF0120" w:rsidRDefault="006E39F3" w:rsidP="00AF0120">
            <w:pPr>
              <w:jc w:val="both"/>
              <w:rPr>
                <w:rFonts w:ascii="Times New Roman" w:hAnsi="Times New Roman" w:cs="Times New Roman"/>
                <w:b/>
              </w:rPr>
            </w:pPr>
            <w:r w:rsidRPr="00AF0120">
              <w:rPr>
                <w:rFonts w:ascii="Times New Roman" w:hAnsi="Times New Roman" w:cs="Times New Roman"/>
                <w:b/>
              </w:rPr>
              <w:t>Artículo 1.</w:t>
            </w:r>
            <w:r w:rsidRPr="00AF0120">
              <w:rPr>
                <w:rFonts w:ascii="Times New Roman" w:hAnsi="Times New Roman" w:cs="Times New Roman"/>
                <w:b/>
              </w:rPr>
              <w:tab/>
              <w:t>Objeto</w:t>
            </w:r>
          </w:p>
          <w:p w14:paraId="12401865" w14:textId="35A63C69" w:rsidR="00AC27A1" w:rsidRPr="00AF0120" w:rsidRDefault="006E39F3" w:rsidP="00AF0120">
            <w:pPr>
              <w:jc w:val="both"/>
              <w:rPr>
                <w:rFonts w:ascii="Times New Roman" w:hAnsi="Times New Roman" w:cs="Times New Roman"/>
              </w:rPr>
            </w:pPr>
            <w:r w:rsidRPr="00AF0120">
              <w:rPr>
                <w:rFonts w:ascii="Times New Roman" w:hAnsi="Times New Roman" w:cs="Times New Roman"/>
              </w:rPr>
              <w:t>El objeto de las presentes disposiciones es establecer el procedimiento de información, corrección de los excesos a los límites y la falta de requisitos establecidos en el régimen de inversión del Reglamento de Gestión de Activos, aplicable a los recursos de los fondos administrados por las entidades reguladas.</w:t>
            </w:r>
          </w:p>
        </w:tc>
        <w:tc>
          <w:tcPr>
            <w:tcW w:w="3533" w:type="dxa"/>
          </w:tcPr>
          <w:p w14:paraId="3FF4A492" w14:textId="01049E39" w:rsidR="00AC27A1" w:rsidRPr="00AF0120" w:rsidRDefault="00431EFC" w:rsidP="00AF0120">
            <w:pPr>
              <w:pStyle w:val="Default"/>
              <w:jc w:val="both"/>
              <w:rPr>
                <w:rFonts w:ascii="Times New Roman" w:hAnsi="Times New Roman" w:cs="Times New Roman"/>
                <w:sz w:val="22"/>
                <w:szCs w:val="22"/>
              </w:rPr>
            </w:pPr>
            <w:r w:rsidRPr="00AF0120">
              <w:rPr>
                <w:rFonts w:ascii="Times New Roman" w:hAnsi="Times New Roman" w:cs="Times New Roman"/>
                <w:b/>
                <w:bCs/>
                <w:sz w:val="22"/>
                <w:szCs w:val="22"/>
              </w:rPr>
              <w:t xml:space="preserve">ACOP-022-2019: </w:t>
            </w:r>
            <w:r w:rsidRPr="00AF0120">
              <w:rPr>
                <w:rFonts w:ascii="Times New Roman" w:hAnsi="Times New Roman" w:cs="Times New Roman"/>
                <w:sz w:val="22"/>
                <w:szCs w:val="22"/>
              </w:rPr>
              <w:t xml:space="preserve">Consideramos que el artículo 1 se podría aclarar incorporando los “sujetos” a quienes van dirigidas estas disposiciones, a saber: informar a la Superintendencia de Pensiones, al Comité de Riegos o Juntas Directivas, entre otros. Por otra parte debería establecerse claramente cuál es el sujeto obligado, a realizar las acciones que se indican en el SP-A-089 que se consulta, verbigracia, </w:t>
            </w:r>
            <w:r w:rsidRPr="00AF0120">
              <w:rPr>
                <w:rFonts w:ascii="Times New Roman" w:hAnsi="Times New Roman" w:cs="Times New Roman"/>
                <w:i/>
                <w:iCs/>
                <w:sz w:val="22"/>
                <w:szCs w:val="22"/>
              </w:rPr>
              <w:t xml:space="preserve">“El objeto de las presentes disposiciones es establecer el procedimiento de información, corrección de los excesos a los límites </w:t>
            </w:r>
            <w:r w:rsidRPr="00AF0120">
              <w:rPr>
                <w:rFonts w:ascii="Times New Roman" w:hAnsi="Times New Roman" w:cs="Times New Roman"/>
                <w:i/>
                <w:iCs/>
                <w:sz w:val="22"/>
                <w:szCs w:val="22"/>
              </w:rPr>
              <w:lastRenderedPageBreak/>
              <w:t xml:space="preserve">y la falta de requisitos establecidos en el régimen de inversión del Reglamento de Gestión de Activos…”, </w:t>
            </w:r>
            <w:r w:rsidRPr="00AF0120">
              <w:rPr>
                <w:rFonts w:ascii="Times New Roman" w:hAnsi="Times New Roman" w:cs="Times New Roman"/>
                <w:sz w:val="22"/>
                <w:szCs w:val="22"/>
              </w:rPr>
              <w:t xml:space="preserve">que deberán seguir las entidades supervisadas. Lo que se pretende es dejar claramente establecida las obligaciones de la entidad regulada. </w:t>
            </w:r>
          </w:p>
        </w:tc>
        <w:tc>
          <w:tcPr>
            <w:tcW w:w="3533" w:type="dxa"/>
          </w:tcPr>
          <w:p w14:paraId="275A52A0" w14:textId="1F854BD4" w:rsidR="00AC27A1" w:rsidRPr="00AF0120" w:rsidRDefault="00467594" w:rsidP="00E4314D">
            <w:pPr>
              <w:jc w:val="both"/>
              <w:rPr>
                <w:rFonts w:ascii="Times New Roman" w:hAnsi="Times New Roman" w:cs="Times New Roman"/>
              </w:rPr>
            </w:pPr>
            <w:r>
              <w:rPr>
                <w:rFonts w:ascii="Times New Roman" w:hAnsi="Times New Roman" w:cs="Times New Roman"/>
                <w:b/>
                <w:bCs/>
              </w:rPr>
              <w:lastRenderedPageBreak/>
              <w:t xml:space="preserve">Respuesta </w:t>
            </w:r>
            <w:r w:rsidRPr="00AF0120">
              <w:rPr>
                <w:rFonts w:ascii="Times New Roman" w:hAnsi="Times New Roman" w:cs="Times New Roman"/>
                <w:b/>
                <w:bCs/>
              </w:rPr>
              <w:t>ACOP-022-2019:</w:t>
            </w:r>
            <w:r>
              <w:rPr>
                <w:rFonts w:ascii="Times New Roman" w:hAnsi="Times New Roman" w:cs="Times New Roman"/>
                <w:b/>
                <w:bCs/>
              </w:rPr>
              <w:t xml:space="preserve"> </w:t>
            </w:r>
            <w:r w:rsidR="00022263" w:rsidRPr="00022263">
              <w:rPr>
                <w:rFonts w:ascii="Times New Roman" w:hAnsi="Times New Roman" w:cs="Times New Roman"/>
                <w:bCs/>
              </w:rPr>
              <w:t>Se acepta la observación ajustándose el texto final.</w:t>
            </w:r>
          </w:p>
        </w:tc>
        <w:tc>
          <w:tcPr>
            <w:tcW w:w="3533" w:type="dxa"/>
          </w:tcPr>
          <w:p w14:paraId="24AB6500" w14:textId="77777777" w:rsidR="00F734DF" w:rsidRPr="00AF0120" w:rsidRDefault="00F734DF" w:rsidP="00F734DF">
            <w:pPr>
              <w:jc w:val="both"/>
              <w:rPr>
                <w:rFonts w:ascii="Times New Roman" w:hAnsi="Times New Roman" w:cs="Times New Roman"/>
                <w:b/>
              </w:rPr>
            </w:pPr>
            <w:r w:rsidRPr="00AF0120">
              <w:rPr>
                <w:rFonts w:ascii="Times New Roman" w:hAnsi="Times New Roman" w:cs="Times New Roman"/>
                <w:b/>
              </w:rPr>
              <w:t>Artículo 1.</w:t>
            </w:r>
            <w:r w:rsidRPr="00AF0120">
              <w:rPr>
                <w:rFonts w:ascii="Times New Roman" w:hAnsi="Times New Roman" w:cs="Times New Roman"/>
                <w:b/>
              </w:rPr>
              <w:tab/>
              <w:t>Objeto</w:t>
            </w:r>
          </w:p>
          <w:p w14:paraId="4F2098F1" w14:textId="7D878B2E" w:rsidR="00AC27A1" w:rsidRPr="00AF0120" w:rsidRDefault="00F734DF" w:rsidP="00F734DF">
            <w:pPr>
              <w:rPr>
                <w:rFonts w:ascii="Times New Roman" w:hAnsi="Times New Roman" w:cs="Times New Roman"/>
              </w:rPr>
            </w:pPr>
            <w:r w:rsidRPr="00AF0120">
              <w:rPr>
                <w:rFonts w:ascii="Times New Roman" w:hAnsi="Times New Roman" w:cs="Times New Roman"/>
              </w:rPr>
              <w:t>El objeto de las presentes disposiciones es establecer el procedimiento de información, corrección de los excesos a los límites y la falta de requisitos establecidos en el régimen de inversión del Reglamento de Gestión de Activos</w:t>
            </w:r>
            <w:r>
              <w:rPr>
                <w:rFonts w:ascii="Times New Roman" w:hAnsi="Times New Roman" w:cs="Times New Roman"/>
              </w:rPr>
              <w:t xml:space="preserve"> que deberán seguir las entidades supervisadas.</w:t>
            </w:r>
          </w:p>
        </w:tc>
      </w:tr>
      <w:tr w:rsidR="00F734DF" w:rsidRPr="00AF0120" w14:paraId="153FDB19" w14:textId="77777777" w:rsidTr="00AC27A1">
        <w:trPr>
          <w:trHeight w:val="265"/>
        </w:trPr>
        <w:tc>
          <w:tcPr>
            <w:tcW w:w="3533" w:type="dxa"/>
          </w:tcPr>
          <w:p w14:paraId="1C8424C6" w14:textId="77777777" w:rsidR="00F734DF" w:rsidRPr="00AF0120" w:rsidRDefault="00F734DF" w:rsidP="00F734DF">
            <w:pPr>
              <w:jc w:val="center"/>
              <w:rPr>
                <w:rFonts w:ascii="Times New Roman" w:hAnsi="Times New Roman" w:cs="Times New Roman"/>
                <w:b/>
              </w:rPr>
            </w:pPr>
            <w:bookmarkStart w:id="1" w:name="_Hlk8912722"/>
            <w:r w:rsidRPr="00AF0120">
              <w:rPr>
                <w:rFonts w:ascii="Times New Roman" w:hAnsi="Times New Roman" w:cs="Times New Roman"/>
                <w:b/>
              </w:rPr>
              <w:t>CAPÍTULO I</w:t>
            </w:r>
          </w:p>
          <w:p w14:paraId="5CEB3822" w14:textId="29D40EE5" w:rsidR="00F734DF" w:rsidRPr="00AF0120" w:rsidRDefault="00F734DF" w:rsidP="00F734DF">
            <w:pPr>
              <w:jc w:val="center"/>
              <w:rPr>
                <w:rFonts w:ascii="Times New Roman" w:hAnsi="Times New Roman" w:cs="Times New Roman"/>
                <w:b/>
              </w:rPr>
            </w:pPr>
            <w:r w:rsidRPr="00AF0120">
              <w:rPr>
                <w:rFonts w:ascii="Times New Roman" w:hAnsi="Times New Roman" w:cs="Times New Roman"/>
                <w:b/>
              </w:rPr>
              <w:t>TRATAMIENTO DE EXCESOS DE INVERSIÓN POR INCUMPLIMIENTO DE LÍMITES ESTABLECIDOS EN EL REGLAMENTO DE GESTIÓN DE ACTIVOS</w:t>
            </w:r>
          </w:p>
        </w:tc>
        <w:tc>
          <w:tcPr>
            <w:tcW w:w="3533" w:type="dxa"/>
          </w:tcPr>
          <w:p w14:paraId="46D54BD7" w14:textId="77777777" w:rsidR="00F734DF" w:rsidRPr="00AF0120" w:rsidRDefault="00F734DF" w:rsidP="00F734DF">
            <w:pPr>
              <w:jc w:val="both"/>
              <w:rPr>
                <w:rFonts w:ascii="Times New Roman" w:hAnsi="Times New Roman" w:cs="Times New Roman"/>
              </w:rPr>
            </w:pPr>
          </w:p>
        </w:tc>
        <w:tc>
          <w:tcPr>
            <w:tcW w:w="3533" w:type="dxa"/>
          </w:tcPr>
          <w:p w14:paraId="7FCB48A0" w14:textId="77777777" w:rsidR="00F734DF" w:rsidRPr="00AF0120" w:rsidRDefault="00F734DF" w:rsidP="00F734DF">
            <w:pPr>
              <w:rPr>
                <w:rFonts w:ascii="Times New Roman" w:hAnsi="Times New Roman" w:cs="Times New Roman"/>
              </w:rPr>
            </w:pPr>
          </w:p>
        </w:tc>
        <w:tc>
          <w:tcPr>
            <w:tcW w:w="3533" w:type="dxa"/>
          </w:tcPr>
          <w:p w14:paraId="3FE4106F" w14:textId="77777777" w:rsidR="00F734DF" w:rsidRPr="00AF0120" w:rsidRDefault="00F734DF" w:rsidP="00F734DF">
            <w:pPr>
              <w:jc w:val="center"/>
              <w:rPr>
                <w:rFonts w:ascii="Times New Roman" w:hAnsi="Times New Roman" w:cs="Times New Roman"/>
                <w:b/>
              </w:rPr>
            </w:pPr>
            <w:r w:rsidRPr="00AF0120">
              <w:rPr>
                <w:rFonts w:ascii="Times New Roman" w:hAnsi="Times New Roman" w:cs="Times New Roman"/>
                <w:b/>
              </w:rPr>
              <w:t>CAPÍTULO I</w:t>
            </w:r>
          </w:p>
          <w:p w14:paraId="34AE13F1" w14:textId="2B5739E2" w:rsidR="00F734DF" w:rsidRPr="00AF0120" w:rsidRDefault="00F734DF" w:rsidP="00F734DF">
            <w:pPr>
              <w:rPr>
                <w:rFonts w:ascii="Times New Roman" w:hAnsi="Times New Roman" w:cs="Times New Roman"/>
              </w:rPr>
            </w:pPr>
            <w:r w:rsidRPr="00AF0120">
              <w:rPr>
                <w:rFonts w:ascii="Times New Roman" w:hAnsi="Times New Roman" w:cs="Times New Roman"/>
                <w:b/>
              </w:rPr>
              <w:t>TRATAMIENTO DE EXCESOS DE INVERSIÓN POR INCUMPLIMIENTO DE LÍMITES ESTABLECIDOS EN EL REGLAMENTO DE GESTIÓN DE ACTIVOS</w:t>
            </w:r>
          </w:p>
        </w:tc>
      </w:tr>
      <w:tr w:rsidR="00F734DF" w:rsidRPr="00AF0120" w14:paraId="0B32C7B4" w14:textId="77777777" w:rsidTr="00AC27A1">
        <w:trPr>
          <w:trHeight w:val="250"/>
        </w:trPr>
        <w:tc>
          <w:tcPr>
            <w:tcW w:w="3533" w:type="dxa"/>
          </w:tcPr>
          <w:p w14:paraId="7D0E4502" w14:textId="241BDE53" w:rsidR="00F734DF" w:rsidRPr="00AF0120" w:rsidRDefault="00F734DF" w:rsidP="00F734DF">
            <w:pPr>
              <w:jc w:val="both"/>
              <w:rPr>
                <w:rFonts w:ascii="Times New Roman" w:hAnsi="Times New Roman" w:cs="Times New Roman"/>
                <w:b/>
              </w:rPr>
            </w:pPr>
            <w:r w:rsidRPr="00AF0120">
              <w:rPr>
                <w:rFonts w:ascii="Times New Roman" w:hAnsi="Times New Roman" w:cs="Times New Roman"/>
                <w:b/>
              </w:rPr>
              <w:t>Artículo 2.</w:t>
            </w:r>
            <w:r w:rsidRPr="00AF0120">
              <w:rPr>
                <w:rFonts w:ascii="Times New Roman" w:hAnsi="Times New Roman" w:cs="Times New Roman"/>
                <w:b/>
              </w:rPr>
              <w:tab/>
              <w:t>Plazo y forma para comunicación del exceso de límites</w:t>
            </w:r>
          </w:p>
          <w:p w14:paraId="13C11577" w14:textId="77777777" w:rsidR="00F734DF" w:rsidRPr="00AF0120" w:rsidRDefault="00F734DF" w:rsidP="00F734DF">
            <w:pPr>
              <w:jc w:val="both"/>
              <w:rPr>
                <w:rFonts w:ascii="Times New Roman" w:hAnsi="Times New Roman" w:cs="Times New Roman"/>
              </w:rPr>
            </w:pPr>
            <w:r w:rsidRPr="00AF0120">
              <w:rPr>
                <w:rFonts w:ascii="Times New Roman" w:hAnsi="Times New Roman" w:cs="Times New Roman"/>
              </w:rPr>
              <w:t>Todo exceso a los límites deberá ser comunicado inmediatamente a la Superintendencia de Pensiones. Para lo anterior, las entidades utilizarán el formato con el contenido mínimo que se incluye como anexo a estas disposiciones. Dicha comunicación debe realizarse mediante escrito formal firmado por el Gerente y/o Director Ejecutivo de la entidad regulada o quien lo sustituya en su ausencia.</w:t>
            </w:r>
          </w:p>
          <w:p w14:paraId="4DC4F9B1" w14:textId="408E728D" w:rsidR="00F734DF" w:rsidRPr="00AF0120" w:rsidRDefault="00F734DF" w:rsidP="00F734DF">
            <w:pPr>
              <w:jc w:val="both"/>
              <w:rPr>
                <w:rFonts w:ascii="Times New Roman" w:hAnsi="Times New Roman" w:cs="Times New Roman"/>
              </w:rPr>
            </w:pPr>
            <w:r w:rsidRPr="00AF0120">
              <w:rPr>
                <w:rFonts w:ascii="Times New Roman" w:hAnsi="Times New Roman" w:cs="Times New Roman"/>
              </w:rPr>
              <w:t xml:space="preserve">Los excesos se contabilizarán en la cuenta de orden creada para tal fin en </w:t>
            </w:r>
            <w:r w:rsidRPr="00AF0120">
              <w:rPr>
                <w:rFonts w:ascii="Times New Roman" w:hAnsi="Times New Roman" w:cs="Times New Roman"/>
              </w:rPr>
              <w:lastRenderedPageBreak/>
              <w:t>el Manual de Cuentas vigente para los fondos administrados, emitido por la Superintendencia de Pensiones.</w:t>
            </w:r>
          </w:p>
        </w:tc>
        <w:tc>
          <w:tcPr>
            <w:tcW w:w="3533" w:type="dxa"/>
          </w:tcPr>
          <w:p w14:paraId="5B4B15A4" w14:textId="5C612640" w:rsidR="00F734DF" w:rsidRPr="00AF0120" w:rsidRDefault="00F734DF" w:rsidP="00F734DF">
            <w:pPr>
              <w:pStyle w:val="Default"/>
              <w:jc w:val="both"/>
              <w:rPr>
                <w:rFonts w:ascii="Times New Roman" w:hAnsi="Times New Roman" w:cs="Times New Roman"/>
                <w:sz w:val="22"/>
                <w:szCs w:val="22"/>
              </w:rPr>
            </w:pPr>
            <w:r w:rsidRPr="00AF0120">
              <w:rPr>
                <w:rFonts w:ascii="Times New Roman" w:hAnsi="Times New Roman" w:cs="Times New Roman"/>
                <w:b/>
                <w:bCs/>
                <w:sz w:val="22"/>
                <w:szCs w:val="22"/>
              </w:rPr>
              <w:lastRenderedPageBreak/>
              <w:t>ACOP-022-2019:</w:t>
            </w:r>
          </w:p>
          <w:p w14:paraId="1A117A18" w14:textId="77777777" w:rsidR="00F734DF" w:rsidRDefault="00F734DF" w:rsidP="00F734DF">
            <w:pPr>
              <w:pStyle w:val="Default"/>
              <w:jc w:val="both"/>
              <w:rPr>
                <w:rFonts w:ascii="Times New Roman" w:hAnsi="Times New Roman" w:cs="Times New Roman"/>
                <w:sz w:val="22"/>
                <w:szCs w:val="22"/>
              </w:rPr>
            </w:pPr>
            <w:r w:rsidRPr="00AF0120">
              <w:rPr>
                <w:rFonts w:ascii="Times New Roman" w:hAnsi="Times New Roman" w:cs="Times New Roman"/>
                <w:sz w:val="22"/>
                <w:szCs w:val="22"/>
              </w:rPr>
              <w:t xml:space="preserve">Consideramos que en el artículo 2 se podría aclarar el término “inmediatamente”, que se expresa, cuando se indica que: </w:t>
            </w:r>
            <w:r w:rsidRPr="00AF0120">
              <w:rPr>
                <w:rFonts w:ascii="Times New Roman" w:hAnsi="Times New Roman" w:cs="Times New Roman"/>
                <w:i/>
                <w:iCs/>
                <w:sz w:val="22"/>
                <w:szCs w:val="22"/>
              </w:rPr>
              <w:t>“Todo exceso a los límites deberá ser comunicado inmediatamente a la Superintendencia de Pensiones…”</w:t>
            </w:r>
            <w:r w:rsidRPr="00AF0120">
              <w:rPr>
                <w:rFonts w:ascii="Times New Roman" w:hAnsi="Times New Roman" w:cs="Times New Roman"/>
                <w:sz w:val="22"/>
                <w:szCs w:val="22"/>
              </w:rPr>
              <w:t xml:space="preserve">. Si bien dicha frase es copia literal de lo dispuesto por el ordinal 64 de la Ley de Protección al Trabajador, podría esa Superintendencia de Pensiones, desarrollar la norma legal e indicar que deberá hacerse la comunicación de los excesos, en un plazo no mayor a 24 horas, un día </w:t>
            </w:r>
            <w:r w:rsidRPr="00AF0120">
              <w:rPr>
                <w:rFonts w:ascii="Times New Roman" w:hAnsi="Times New Roman" w:cs="Times New Roman"/>
                <w:sz w:val="22"/>
                <w:szCs w:val="22"/>
              </w:rPr>
              <w:lastRenderedPageBreak/>
              <w:t xml:space="preserve">hábil o cualquier otra aclaración que le dé certeza a las entidades supervisadas del periodo temporal que tienen. </w:t>
            </w:r>
          </w:p>
          <w:p w14:paraId="5A16854B" w14:textId="545734BB" w:rsidR="00F734DF" w:rsidRPr="005C2DAC" w:rsidRDefault="00F734DF" w:rsidP="00F734DF">
            <w:pPr>
              <w:pStyle w:val="Default"/>
              <w:jc w:val="both"/>
              <w:rPr>
                <w:rFonts w:ascii="Times New Roman" w:hAnsi="Times New Roman" w:cs="Times New Roman"/>
                <w:b/>
                <w:sz w:val="22"/>
                <w:szCs w:val="22"/>
              </w:rPr>
            </w:pPr>
            <w:r w:rsidRPr="005C2DAC">
              <w:rPr>
                <w:rFonts w:ascii="Times New Roman" w:hAnsi="Times New Roman" w:cs="Times New Roman"/>
                <w:b/>
                <w:sz w:val="22"/>
                <w:szCs w:val="22"/>
              </w:rPr>
              <w:t>Popular Pensiones Oficio PEN-0575-2019:</w:t>
            </w:r>
          </w:p>
          <w:p w14:paraId="18ABCA34" w14:textId="73B7153B" w:rsidR="00F734DF" w:rsidRPr="00AF0120" w:rsidRDefault="00F734DF" w:rsidP="00F734DF">
            <w:pPr>
              <w:pStyle w:val="Default"/>
              <w:jc w:val="both"/>
              <w:rPr>
                <w:rFonts w:ascii="Times New Roman" w:hAnsi="Times New Roman" w:cs="Times New Roman"/>
                <w:sz w:val="22"/>
                <w:szCs w:val="22"/>
              </w:rPr>
            </w:pPr>
            <w:r>
              <w:rPr>
                <w:rFonts w:ascii="Times New Roman" w:hAnsi="Times New Roman" w:cs="Times New Roman"/>
                <w:sz w:val="22"/>
                <w:szCs w:val="22"/>
              </w:rPr>
              <w:t>Sobre el párrafo 1, En este caso se solicita la modificación al artículo, de forma que se especifique un plazo más amplio para la notificación del exceso con el fin de que se cuente con al menos 3 días hábiles posteriores a la fecha del registro contable de la inversión que ocasionó el exceso.</w:t>
            </w:r>
          </w:p>
        </w:tc>
        <w:tc>
          <w:tcPr>
            <w:tcW w:w="3533" w:type="dxa"/>
          </w:tcPr>
          <w:p w14:paraId="03CD992E" w14:textId="77777777" w:rsidR="00F734DF" w:rsidRDefault="00F734DF" w:rsidP="00F734DF">
            <w:pPr>
              <w:rPr>
                <w:rFonts w:ascii="Times New Roman" w:hAnsi="Times New Roman" w:cs="Times New Roman"/>
                <w:b/>
                <w:bCs/>
              </w:rPr>
            </w:pPr>
            <w:r>
              <w:rPr>
                <w:rFonts w:ascii="Times New Roman" w:hAnsi="Times New Roman" w:cs="Times New Roman"/>
                <w:b/>
                <w:bCs/>
              </w:rPr>
              <w:lastRenderedPageBreak/>
              <w:t xml:space="preserve">Respuesta </w:t>
            </w:r>
            <w:r w:rsidRPr="00AF0120">
              <w:rPr>
                <w:rFonts w:ascii="Times New Roman" w:hAnsi="Times New Roman" w:cs="Times New Roman"/>
                <w:b/>
                <w:bCs/>
              </w:rPr>
              <w:t>ACOP-022-2019</w:t>
            </w:r>
            <w:r>
              <w:rPr>
                <w:rFonts w:ascii="Times New Roman" w:hAnsi="Times New Roman" w:cs="Times New Roman"/>
                <w:b/>
                <w:bCs/>
              </w:rPr>
              <w:t xml:space="preserve"> y </w:t>
            </w:r>
            <w:r w:rsidRPr="005C2DAC">
              <w:rPr>
                <w:rFonts w:ascii="Times New Roman" w:hAnsi="Times New Roman" w:cs="Times New Roman"/>
                <w:b/>
              </w:rPr>
              <w:t>PEN-0575-2019</w:t>
            </w:r>
            <w:r w:rsidRPr="00AF0120">
              <w:rPr>
                <w:rFonts w:ascii="Times New Roman" w:hAnsi="Times New Roman" w:cs="Times New Roman"/>
                <w:b/>
                <w:bCs/>
              </w:rPr>
              <w:t>:</w:t>
            </w:r>
            <w:r>
              <w:rPr>
                <w:rFonts w:ascii="Times New Roman" w:hAnsi="Times New Roman" w:cs="Times New Roman"/>
                <w:b/>
                <w:bCs/>
              </w:rPr>
              <w:t xml:space="preserve"> </w:t>
            </w:r>
          </w:p>
          <w:p w14:paraId="52FD6485" w14:textId="5E062C6A" w:rsidR="00F734DF" w:rsidRDefault="00F734DF" w:rsidP="00F734DF">
            <w:pPr>
              <w:rPr>
                <w:rFonts w:ascii="Times New Roman" w:hAnsi="Times New Roman" w:cs="Times New Roman"/>
                <w:bCs/>
              </w:rPr>
            </w:pPr>
            <w:r w:rsidRPr="00022263">
              <w:rPr>
                <w:rFonts w:ascii="Times New Roman" w:hAnsi="Times New Roman" w:cs="Times New Roman"/>
                <w:bCs/>
              </w:rPr>
              <w:t xml:space="preserve">El artículo 3 del Acuerdo actualmente vigente establece que: </w:t>
            </w:r>
            <w:r w:rsidRPr="00022263">
              <w:rPr>
                <w:rFonts w:ascii="Times New Roman" w:hAnsi="Times New Roman" w:cs="Times New Roman"/>
                <w:bCs/>
                <w:i/>
              </w:rPr>
              <w:t>“Toda violación a los límites establecidos en el régimen de inversión debe ser comunicada inmediatamente a la Superintendencia de Pensiones…”</w:t>
            </w:r>
            <w:r>
              <w:rPr>
                <w:rFonts w:ascii="Times New Roman" w:hAnsi="Times New Roman" w:cs="Times New Roman"/>
                <w:bCs/>
                <w:i/>
              </w:rPr>
              <w:t xml:space="preserve"> </w:t>
            </w:r>
            <w:r w:rsidRPr="00022263">
              <w:rPr>
                <w:rFonts w:ascii="Times New Roman" w:hAnsi="Times New Roman" w:cs="Times New Roman"/>
                <w:bCs/>
              </w:rPr>
              <w:t>Lo anterior, en consonancia con lo que establece el artículo 64 de la Ley de Protección al Trabajador que reza:</w:t>
            </w:r>
          </w:p>
          <w:p w14:paraId="2DE2C024" w14:textId="25C86A67" w:rsidR="00F734DF" w:rsidRDefault="00F734DF" w:rsidP="00F734DF">
            <w:pPr>
              <w:rPr>
                <w:rFonts w:ascii="Times New Roman" w:hAnsi="Times New Roman" w:cs="Times New Roman"/>
                <w:bCs/>
                <w:i/>
              </w:rPr>
            </w:pPr>
            <w:r w:rsidRPr="00022263">
              <w:rPr>
                <w:rFonts w:ascii="Times New Roman" w:hAnsi="Times New Roman" w:cs="Times New Roman"/>
                <w:bCs/>
                <w:i/>
              </w:rPr>
              <w:t xml:space="preserve">“Cuando una inversión con recursos de los fondos sobrepase los límites ordenados por la Superintendencia, el ente regulado deberá comunicarlo </w:t>
            </w:r>
            <w:r w:rsidRPr="00022263">
              <w:rPr>
                <w:rFonts w:ascii="Times New Roman" w:hAnsi="Times New Roman" w:cs="Times New Roman"/>
                <w:bCs/>
                <w:i/>
              </w:rPr>
              <w:lastRenderedPageBreak/>
              <w:t>inmediatamente a la Superintendencia</w:t>
            </w:r>
            <w:r>
              <w:rPr>
                <w:rFonts w:ascii="Times New Roman" w:hAnsi="Times New Roman" w:cs="Times New Roman"/>
                <w:bCs/>
                <w:i/>
              </w:rPr>
              <w:t>…</w:t>
            </w:r>
            <w:r w:rsidRPr="00022263">
              <w:rPr>
                <w:rFonts w:ascii="Times New Roman" w:hAnsi="Times New Roman" w:cs="Times New Roman"/>
                <w:bCs/>
                <w:i/>
              </w:rPr>
              <w:t>”</w:t>
            </w:r>
            <w:r>
              <w:rPr>
                <w:rFonts w:ascii="Times New Roman" w:hAnsi="Times New Roman" w:cs="Times New Roman"/>
                <w:bCs/>
                <w:i/>
              </w:rPr>
              <w:t>.</w:t>
            </w:r>
          </w:p>
          <w:p w14:paraId="14A6AD97" w14:textId="7B337681" w:rsidR="00F734DF" w:rsidRPr="00022263" w:rsidRDefault="00F734DF" w:rsidP="00F734DF">
            <w:pPr>
              <w:rPr>
                <w:rFonts w:ascii="Times New Roman" w:hAnsi="Times New Roman" w:cs="Times New Roman"/>
                <w:bCs/>
              </w:rPr>
            </w:pPr>
            <w:r w:rsidRPr="00022263">
              <w:rPr>
                <w:rFonts w:ascii="Times New Roman" w:hAnsi="Times New Roman" w:cs="Times New Roman"/>
                <w:bCs/>
              </w:rPr>
              <w:t>Dado lo anterior, no es posible acceder a lo solicitado.</w:t>
            </w:r>
          </w:p>
          <w:p w14:paraId="1178EAA2" w14:textId="4543BED9" w:rsidR="00F734DF" w:rsidRPr="00022263" w:rsidRDefault="00F734DF" w:rsidP="00F734DF">
            <w:pPr>
              <w:rPr>
                <w:rFonts w:ascii="Times New Roman" w:hAnsi="Times New Roman" w:cs="Times New Roman"/>
              </w:rPr>
            </w:pPr>
          </w:p>
        </w:tc>
        <w:tc>
          <w:tcPr>
            <w:tcW w:w="3533" w:type="dxa"/>
          </w:tcPr>
          <w:p w14:paraId="4C54587C" w14:textId="77777777" w:rsidR="00F734DF" w:rsidRPr="00AF0120" w:rsidRDefault="00F734DF" w:rsidP="00F734DF">
            <w:pPr>
              <w:jc w:val="both"/>
              <w:rPr>
                <w:rFonts w:ascii="Times New Roman" w:hAnsi="Times New Roman" w:cs="Times New Roman"/>
                <w:b/>
              </w:rPr>
            </w:pPr>
            <w:r w:rsidRPr="00AF0120">
              <w:rPr>
                <w:rFonts w:ascii="Times New Roman" w:hAnsi="Times New Roman" w:cs="Times New Roman"/>
                <w:b/>
              </w:rPr>
              <w:lastRenderedPageBreak/>
              <w:t>Artículo 2.</w:t>
            </w:r>
            <w:r w:rsidRPr="00AF0120">
              <w:rPr>
                <w:rFonts w:ascii="Times New Roman" w:hAnsi="Times New Roman" w:cs="Times New Roman"/>
                <w:b/>
              </w:rPr>
              <w:tab/>
              <w:t>Plazo y forma para comunicación del exceso de límites</w:t>
            </w:r>
          </w:p>
          <w:p w14:paraId="5AD36E87" w14:textId="77777777" w:rsidR="00F734DF" w:rsidRPr="00AF0120" w:rsidRDefault="00F734DF" w:rsidP="00F734DF">
            <w:pPr>
              <w:jc w:val="both"/>
              <w:rPr>
                <w:rFonts w:ascii="Times New Roman" w:hAnsi="Times New Roman" w:cs="Times New Roman"/>
              </w:rPr>
            </w:pPr>
            <w:r w:rsidRPr="00AF0120">
              <w:rPr>
                <w:rFonts w:ascii="Times New Roman" w:hAnsi="Times New Roman" w:cs="Times New Roman"/>
              </w:rPr>
              <w:t>Todo exceso a los límites deberá ser comunicado inmediatamente a la Superintendencia de Pensiones. Para lo anterior, las entidades utilizarán el formato con el contenido mínimo que se incluye como anexo a estas disposiciones. Dicha comunicación debe realizarse mediante escrito formal firmado por el Gerente y/o Director Ejecutivo de la entidad regulada o quien lo sustituya en su ausencia.</w:t>
            </w:r>
          </w:p>
          <w:p w14:paraId="66CE161A" w14:textId="7C4416F1" w:rsidR="00F734DF" w:rsidRPr="00AF0120" w:rsidRDefault="00F734DF" w:rsidP="00F734DF">
            <w:pPr>
              <w:rPr>
                <w:rFonts w:ascii="Times New Roman" w:hAnsi="Times New Roman" w:cs="Times New Roman"/>
              </w:rPr>
            </w:pPr>
            <w:r w:rsidRPr="00AF0120">
              <w:rPr>
                <w:rFonts w:ascii="Times New Roman" w:hAnsi="Times New Roman" w:cs="Times New Roman"/>
              </w:rPr>
              <w:t xml:space="preserve">Los excesos se contabilizarán en la cuenta de orden creada para tal fin en </w:t>
            </w:r>
            <w:r w:rsidRPr="00AF0120">
              <w:rPr>
                <w:rFonts w:ascii="Times New Roman" w:hAnsi="Times New Roman" w:cs="Times New Roman"/>
              </w:rPr>
              <w:lastRenderedPageBreak/>
              <w:t>el Manual de Cuentas vigente para los fondos administrados, emitido por la Superintendencia de Pensiones.</w:t>
            </w:r>
          </w:p>
        </w:tc>
      </w:tr>
      <w:bookmarkEnd w:id="1"/>
      <w:tr w:rsidR="00AC27A1" w:rsidRPr="00AF0120" w14:paraId="7E7B21BA" w14:textId="77777777" w:rsidTr="00AC27A1">
        <w:trPr>
          <w:trHeight w:val="265"/>
        </w:trPr>
        <w:tc>
          <w:tcPr>
            <w:tcW w:w="3533" w:type="dxa"/>
          </w:tcPr>
          <w:p w14:paraId="0717A77C" w14:textId="77777777" w:rsidR="00315772" w:rsidRPr="00AF0120" w:rsidRDefault="00315772" w:rsidP="00AF0120">
            <w:pPr>
              <w:jc w:val="both"/>
              <w:rPr>
                <w:rFonts w:ascii="Times New Roman" w:hAnsi="Times New Roman" w:cs="Times New Roman"/>
                <w:b/>
              </w:rPr>
            </w:pPr>
            <w:r w:rsidRPr="00AF0120">
              <w:rPr>
                <w:rFonts w:ascii="Times New Roman" w:hAnsi="Times New Roman" w:cs="Times New Roman"/>
                <w:b/>
              </w:rPr>
              <w:lastRenderedPageBreak/>
              <w:t>Artículo 3.</w:t>
            </w:r>
            <w:r w:rsidRPr="00AF0120">
              <w:rPr>
                <w:rFonts w:ascii="Times New Roman" w:hAnsi="Times New Roman" w:cs="Times New Roman"/>
                <w:b/>
              </w:rPr>
              <w:tab/>
              <w:t>Plan de reducción de riesgos</w:t>
            </w:r>
          </w:p>
          <w:p w14:paraId="38704B5B" w14:textId="77777777" w:rsidR="00315772" w:rsidRPr="00AF0120" w:rsidRDefault="00315772" w:rsidP="00AF0120">
            <w:pPr>
              <w:jc w:val="both"/>
              <w:rPr>
                <w:rFonts w:ascii="Times New Roman" w:hAnsi="Times New Roman" w:cs="Times New Roman"/>
              </w:rPr>
            </w:pPr>
            <w:r w:rsidRPr="00AF0120">
              <w:rPr>
                <w:rFonts w:ascii="Times New Roman" w:hAnsi="Times New Roman" w:cs="Times New Roman"/>
              </w:rPr>
              <w:t>La Superintendencia deberá pronunciarse con respecto a los planes de reducción de riesgos previstos en el párrafo primero del artículo 64 de la Ley N°7983, en un plazo máximo de diez días hábiles. Dicho plazo podrá prorrogarse por uno igual, cuando la complejidad del asunto así lo amerite.</w:t>
            </w:r>
          </w:p>
          <w:p w14:paraId="3623F937" w14:textId="77777777" w:rsidR="00AC27A1" w:rsidRPr="00AF0120" w:rsidRDefault="00AC27A1" w:rsidP="00AF0120">
            <w:pPr>
              <w:jc w:val="both"/>
              <w:rPr>
                <w:rFonts w:ascii="Times New Roman" w:hAnsi="Times New Roman" w:cs="Times New Roman"/>
              </w:rPr>
            </w:pPr>
          </w:p>
        </w:tc>
        <w:tc>
          <w:tcPr>
            <w:tcW w:w="3533" w:type="dxa"/>
          </w:tcPr>
          <w:p w14:paraId="23D78F83" w14:textId="77777777" w:rsidR="006B5620" w:rsidRPr="00AF0120" w:rsidRDefault="00D00016" w:rsidP="00AF0120">
            <w:pPr>
              <w:pStyle w:val="Default"/>
              <w:jc w:val="both"/>
              <w:rPr>
                <w:rFonts w:ascii="Times New Roman" w:hAnsi="Times New Roman" w:cs="Times New Roman"/>
                <w:sz w:val="22"/>
                <w:szCs w:val="22"/>
              </w:rPr>
            </w:pPr>
            <w:r w:rsidRPr="00AF0120">
              <w:rPr>
                <w:rFonts w:ascii="Times New Roman" w:hAnsi="Times New Roman" w:cs="Times New Roman"/>
                <w:b/>
                <w:bCs/>
                <w:sz w:val="22"/>
                <w:szCs w:val="22"/>
              </w:rPr>
              <w:t>ACOP-022-2019:</w:t>
            </w:r>
            <w:r w:rsidR="006B5620" w:rsidRPr="00AF0120">
              <w:rPr>
                <w:rFonts w:ascii="Times New Roman" w:hAnsi="Times New Roman" w:cs="Times New Roman"/>
                <w:b/>
                <w:bCs/>
                <w:sz w:val="22"/>
                <w:szCs w:val="22"/>
              </w:rPr>
              <w:t xml:space="preserve"> </w:t>
            </w:r>
          </w:p>
          <w:p w14:paraId="1D1C8EFF" w14:textId="43A21AB8" w:rsidR="00AC27A1" w:rsidRPr="00AF0120" w:rsidRDefault="006B5620" w:rsidP="0014106E">
            <w:pPr>
              <w:pStyle w:val="Default"/>
              <w:jc w:val="both"/>
              <w:rPr>
                <w:rFonts w:ascii="Times New Roman" w:hAnsi="Times New Roman" w:cs="Times New Roman"/>
                <w:sz w:val="22"/>
                <w:szCs w:val="22"/>
              </w:rPr>
            </w:pPr>
            <w:r w:rsidRPr="00AF0120">
              <w:rPr>
                <w:rFonts w:ascii="Times New Roman" w:hAnsi="Times New Roman" w:cs="Times New Roman"/>
                <w:sz w:val="22"/>
                <w:szCs w:val="22"/>
              </w:rPr>
              <w:t>Proponemos que se revise dicho artículo para que se establezca con claridad, a partir de cuándo inicia el plazo de las Superintendencia para pronunciarse, por ejemplo: “</w:t>
            </w:r>
            <w:r w:rsidRPr="00AF0120">
              <w:rPr>
                <w:rFonts w:ascii="Times New Roman" w:hAnsi="Times New Roman" w:cs="Times New Roman"/>
                <w:i/>
                <w:iCs/>
                <w:sz w:val="22"/>
                <w:szCs w:val="22"/>
              </w:rPr>
              <w:t xml:space="preserve">La Superintendencia deberá pronunciarse con respecto a los planes de reducción de riesgos previstos en el párrafo primero del artículo 64 de la Ley N°7983, en un plazo máximo de diez días hábiles. Dicho plazo podrá prorrogarse por uno igual, cuando la complejidad del asunto así lo amerite. </w:t>
            </w:r>
            <w:r w:rsidRPr="00AF0120">
              <w:rPr>
                <w:rFonts w:ascii="Times New Roman" w:hAnsi="Times New Roman" w:cs="Times New Roman"/>
                <w:sz w:val="22"/>
                <w:szCs w:val="22"/>
              </w:rPr>
              <w:t xml:space="preserve">Dicho plazo comenzará a correr a partir de la fecha de presentación del plan de reducción </w:t>
            </w:r>
            <w:r w:rsidRPr="00AF0120">
              <w:rPr>
                <w:rFonts w:ascii="Times New Roman" w:hAnsi="Times New Roman" w:cs="Times New Roman"/>
                <w:sz w:val="22"/>
                <w:szCs w:val="22"/>
              </w:rPr>
              <w:lastRenderedPageBreak/>
              <w:t xml:space="preserve">de excesos. Adicionalmente consideramos oportuno sugerir, por razones de certeza jurídica, que incorpore en este artículo, que superado el plazo indicado y su prórroga en caso de no haber pronunciamiento de la Superintendencia de Pensiones, operará el silencio positivo y la entidad supervisada podrá ejecutar dicho plan propuesto. </w:t>
            </w:r>
          </w:p>
        </w:tc>
        <w:tc>
          <w:tcPr>
            <w:tcW w:w="3533" w:type="dxa"/>
          </w:tcPr>
          <w:p w14:paraId="6BA68235" w14:textId="0904FF94" w:rsidR="00AC27A1" w:rsidRPr="00AF0120" w:rsidRDefault="00742B91" w:rsidP="00AF0120">
            <w:pPr>
              <w:rPr>
                <w:rFonts w:ascii="Times New Roman" w:hAnsi="Times New Roman" w:cs="Times New Roman"/>
              </w:rPr>
            </w:pPr>
            <w:r>
              <w:rPr>
                <w:rFonts w:ascii="Times New Roman" w:hAnsi="Times New Roman" w:cs="Times New Roman"/>
                <w:b/>
                <w:bCs/>
              </w:rPr>
              <w:lastRenderedPageBreak/>
              <w:t xml:space="preserve">Respuesta </w:t>
            </w:r>
            <w:r w:rsidRPr="00AF0120">
              <w:rPr>
                <w:rFonts w:ascii="Times New Roman" w:hAnsi="Times New Roman" w:cs="Times New Roman"/>
                <w:b/>
                <w:bCs/>
              </w:rPr>
              <w:t>ACOP-022-2019</w:t>
            </w:r>
            <w:r w:rsidR="00952847">
              <w:rPr>
                <w:rFonts w:ascii="Times New Roman" w:hAnsi="Times New Roman" w:cs="Times New Roman"/>
                <w:b/>
                <w:bCs/>
              </w:rPr>
              <w:t xml:space="preserve">: </w:t>
            </w:r>
            <w:r w:rsidR="00022263" w:rsidRPr="00022263">
              <w:rPr>
                <w:rFonts w:ascii="Times New Roman" w:hAnsi="Times New Roman" w:cs="Times New Roman"/>
                <w:bCs/>
              </w:rPr>
              <w:t>L</w:t>
            </w:r>
            <w:r w:rsidR="00952847" w:rsidRPr="00952847">
              <w:rPr>
                <w:rFonts w:ascii="Times New Roman" w:hAnsi="Times New Roman" w:cs="Times New Roman"/>
                <w:bCs/>
              </w:rPr>
              <w:t>a redacción propuesta es clara</w:t>
            </w:r>
            <w:r w:rsidR="00165D5A">
              <w:rPr>
                <w:rFonts w:ascii="Times New Roman" w:hAnsi="Times New Roman" w:cs="Times New Roman"/>
                <w:bCs/>
              </w:rPr>
              <w:t>.</w:t>
            </w:r>
          </w:p>
        </w:tc>
        <w:tc>
          <w:tcPr>
            <w:tcW w:w="3533" w:type="dxa"/>
          </w:tcPr>
          <w:p w14:paraId="0F495289" w14:textId="77777777" w:rsidR="00F734DF" w:rsidRPr="00AF0120" w:rsidRDefault="00F734DF" w:rsidP="00F734DF">
            <w:pPr>
              <w:jc w:val="both"/>
              <w:rPr>
                <w:rFonts w:ascii="Times New Roman" w:hAnsi="Times New Roman" w:cs="Times New Roman"/>
                <w:b/>
              </w:rPr>
            </w:pPr>
            <w:r w:rsidRPr="00AF0120">
              <w:rPr>
                <w:rFonts w:ascii="Times New Roman" w:hAnsi="Times New Roman" w:cs="Times New Roman"/>
                <w:b/>
              </w:rPr>
              <w:t>Artículo 3.</w:t>
            </w:r>
            <w:r w:rsidRPr="00AF0120">
              <w:rPr>
                <w:rFonts w:ascii="Times New Roman" w:hAnsi="Times New Roman" w:cs="Times New Roman"/>
                <w:b/>
              </w:rPr>
              <w:tab/>
              <w:t>Plan de reducción de riesgos</w:t>
            </w:r>
          </w:p>
          <w:p w14:paraId="6DDE2695" w14:textId="0AEFFB82" w:rsidR="00AC27A1" w:rsidRPr="00AF0120" w:rsidRDefault="00F734DF" w:rsidP="00F734DF">
            <w:pPr>
              <w:rPr>
                <w:rFonts w:ascii="Times New Roman" w:hAnsi="Times New Roman" w:cs="Times New Roman"/>
              </w:rPr>
            </w:pPr>
            <w:r w:rsidRPr="00AF0120">
              <w:rPr>
                <w:rFonts w:ascii="Times New Roman" w:hAnsi="Times New Roman" w:cs="Times New Roman"/>
              </w:rPr>
              <w:t>La Superintendencia deberá pronunciarse con respecto a los planes de reducción de riesgos previstos en el párrafo primero del artículo 64 de la Ley N°7983, en un plazo máximo de diez días hábiles. Dicho plazo podrá prorrogarse por uno igual, cuando la complejidad del asunto así lo amerite.</w:t>
            </w:r>
          </w:p>
        </w:tc>
      </w:tr>
      <w:tr w:rsidR="00AC27A1" w:rsidRPr="00AF0120" w14:paraId="14123A05" w14:textId="77777777" w:rsidTr="00AC27A1">
        <w:trPr>
          <w:trHeight w:val="250"/>
        </w:trPr>
        <w:tc>
          <w:tcPr>
            <w:tcW w:w="3533" w:type="dxa"/>
          </w:tcPr>
          <w:p w14:paraId="40043E53" w14:textId="77777777" w:rsidR="00376D94" w:rsidRPr="00AF0120" w:rsidRDefault="00376D94" w:rsidP="00AF0120">
            <w:pPr>
              <w:jc w:val="both"/>
              <w:rPr>
                <w:rFonts w:ascii="Times New Roman" w:hAnsi="Times New Roman" w:cs="Times New Roman"/>
                <w:b/>
              </w:rPr>
            </w:pPr>
            <w:r w:rsidRPr="00AF0120">
              <w:rPr>
                <w:rFonts w:ascii="Times New Roman" w:hAnsi="Times New Roman" w:cs="Times New Roman"/>
                <w:b/>
              </w:rPr>
              <w:t>Artículo 4.</w:t>
            </w:r>
            <w:r w:rsidRPr="00AF0120">
              <w:rPr>
                <w:rFonts w:ascii="Times New Roman" w:hAnsi="Times New Roman" w:cs="Times New Roman"/>
                <w:b/>
              </w:rPr>
              <w:tab/>
              <w:t>Divulgación del exceso</w:t>
            </w:r>
          </w:p>
          <w:p w14:paraId="592E0DA5" w14:textId="77777777" w:rsidR="00376D94" w:rsidRPr="00AF0120" w:rsidRDefault="00376D94" w:rsidP="00AF0120">
            <w:pPr>
              <w:jc w:val="both"/>
              <w:rPr>
                <w:rFonts w:ascii="Times New Roman" w:hAnsi="Times New Roman" w:cs="Times New Roman"/>
              </w:rPr>
            </w:pPr>
            <w:r w:rsidRPr="00AF0120">
              <w:rPr>
                <w:rFonts w:ascii="Times New Roman" w:hAnsi="Times New Roman" w:cs="Times New Roman"/>
              </w:rPr>
              <w:t>El exceso deberá ser notificado inmediatamente por la alta gerencia al Comité de Riesgos, al Comité de Inversiones y a la Junta Directiva u Órgano de Dirección.</w:t>
            </w:r>
          </w:p>
          <w:p w14:paraId="56CE6043" w14:textId="77777777" w:rsidR="00376D94" w:rsidRPr="00AF0120" w:rsidRDefault="00376D94" w:rsidP="00AF0120">
            <w:pPr>
              <w:jc w:val="both"/>
              <w:rPr>
                <w:rFonts w:ascii="Times New Roman" w:hAnsi="Times New Roman" w:cs="Times New Roman"/>
              </w:rPr>
            </w:pPr>
            <w:r w:rsidRPr="00AF0120">
              <w:rPr>
                <w:rFonts w:ascii="Times New Roman" w:hAnsi="Times New Roman" w:cs="Times New Roman"/>
              </w:rPr>
              <w:t xml:space="preserve">   </w:t>
            </w:r>
          </w:p>
          <w:p w14:paraId="464FC4B4" w14:textId="77777777" w:rsidR="00376D94" w:rsidRPr="00AF0120" w:rsidRDefault="00376D94" w:rsidP="00AF0120">
            <w:pPr>
              <w:jc w:val="both"/>
              <w:rPr>
                <w:rFonts w:ascii="Times New Roman" w:hAnsi="Times New Roman" w:cs="Times New Roman"/>
              </w:rPr>
            </w:pPr>
            <w:r w:rsidRPr="00AF0120">
              <w:rPr>
                <w:rFonts w:ascii="Times New Roman" w:hAnsi="Times New Roman" w:cs="Times New Roman"/>
              </w:rPr>
              <w:t>La alta gerencia deberá preparar un informe que deberá ser aprobado por el Comité de Inversiones y contendrá, al menos:</w:t>
            </w:r>
          </w:p>
          <w:p w14:paraId="368A703A" w14:textId="77777777" w:rsidR="00376D94" w:rsidRPr="00AF0120" w:rsidRDefault="00376D94" w:rsidP="00AF0120">
            <w:pPr>
              <w:pStyle w:val="Prrafodelista"/>
              <w:numPr>
                <w:ilvl w:val="0"/>
                <w:numId w:val="1"/>
              </w:numPr>
              <w:spacing w:line="240" w:lineRule="auto"/>
              <w:jc w:val="both"/>
              <w:rPr>
                <w:rFonts w:cs="Times New Roman"/>
                <w:sz w:val="22"/>
              </w:rPr>
            </w:pPr>
            <w:r w:rsidRPr="00AF0120">
              <w:rPr>
                <w:rFonts w:cs="Times New Roman"/>
                <w:sz w:val="22"/>
              </w:rPr>
              <w:t>Descripción pormenorizada y documentada de los valores que provocaron el exceso y la situación que lo provocó.</w:t>
            </w:r>
          </w:p>
          <w:p w14:paraId="780031EA" w14:textId="77777777" w:rsidR="00376D94" w:rsidRPr="00AF0120" w:rsidRDefault="00376D94" w:rsidP="00AF0120">
            <w:pPr>
              <w:pStyle w:val="Prrafodelista"/>
              <w:numPr>
                <w:ilvl w:val="0"/>
                <w:numId w:val="1"/>
              </w:numPr>
              <w:spacing w:line="240" w:lineRule="auto"/>
              <w:jc w:val="both"/>
              <w:rPr>
                <w:rFonts w:cs="Times New Roman"/>
                <w:sz w:val="22"/>
              </w:rPr>
            </w:pPr>
            <w:r w:rsidRPr="00AF0120">
              <w:rPr>
                <w:rFonts w:cs="Times New Roman"/>
                <w:sz w:val="22"/>
              </w:rPr>
              <w:t xml:space="preserve">Propuesta del plan de reducción de riesgos que incluya las actividades, los </w:t>
            </w:r>
            <w:r w:rsidRPr="00AF0120">
              <w:rPr>
                <w:rFonts w:cs="Times New Roman"/>
                <w:sz w:val="22"/>
              </w:rPr>
              <w:lastRenderedPageBreak/>
              <w:t>responsables y las fechas de ejecución del plan.</w:t>
            </w:r>
          </w:p>
          <w:p w14:paraId="3A87DDD6" w14:textId="77777777" w:rsidR="00376D94" w:rsidRPr="00AF0120" w:rsidRDefault="00376D94" w:rsidP="00AF0120">
            <w:pPr>
              <w:pStyle w:val="Prrafodelista"/>
              <w:numPr>
                <w:ilvl w:val="0"/>
                <w:numId w:val="1"/>
              </w:numPr>
              <w:spacing w:line="240" w:lineRule="auto"/>
              <w:jc w:val="both"/>
              <w:rPr>
                <w:rFonts w:cs="Times New Roman"/>
                <w:sz w:val="22"/>
              </w:rPr>
            </w:pPr>
            <w:r w:rsidRPr="00AF0120">
              <w:rPr>
                <w:rFonts w:cs="Times New Roman"/>
                <w:sz w:val="22"/>
              </w:rPr>
              <w:t>Los riesgos sobre el fondo que el exceso de límites produjo.</w:t>
            </w:r>
          </w:p>
          <w:p w14:paraId="54C9E9A9" w14:textId="77777777" w:rsidR="00AC27A1" w:rsidRPr="00AF0120" w:rsidRDefault="00AC27A1" w:rsidP="00AF0120">
            <w:pPr>
              <w:jc w:val="both"/>
              <w:rPr>
                <w:rFonts w:ascii="Times New Roman" w:hAnsi="Times New Roman" w:cs="Times New Roman"/>
              </w:rPr>
            </w:pPr>
          </w:p>
        </w:tc>
        <w:tc>
          <w:tcPr>
            <w:tcW w:w="3533" w:type="dxa"/>
          </w:tcPr>
          <w:p w14:paraId="03B5010D" w14:textId="77777777" w:rsidR="006B5620" w:rsidRPr="00AF0120" w:rsidRDefault="00D00016" w:rsidP="00AF0120">
            <w:pPr>
              <w:pStyle w:val="Default"/>
              <w:jc w:val="both"/>
              <w:rPr>
                <w:rFonts w:ascii="Times New Roman" w:hAnsi="Times New Roman" w:cs="Times New Roman"/>
                <w:sz w:val="22"/>
                <w:szCs w:val="22"/>
              </w:rPr>
            </w:pPr>
            <w:r w:rsidRPr="00AF0120">
              <w:rPr>
                <w:rFonts w:ascii="Times New Roman" w:hAnsi="Times New Roman" w:cs="Times New Roman"/>
                <w:b/>
                <w:bCs/>
                <w:sz w:val="22"/>
                <w:szCs w:val="22"/>
              </w:rPr>
              <w:lastRenderedPageBreak/>
              <w:t>ACOP-022-2019:</w:t>
            </w:r>
            <w:r w:rsidR="006B5620" w:rsidRPr="00AF0120">
              <w:rPr>
                <w:rFonts w:ascii="Times New Roman" w:hAnsi="Times New Roman" w:cs="Times New Roman"/>
                <w:b/>
                <w:bCs/>
                <w:sz w:val="22"/>
                <w:szCs w:val="22"/>
              </w:rPr>
              <w:t xml:space="preserve"> </w:t>
            </w:r>
          </w:p>
          <w:p w14:paraId="51F5FC28" w14:textId="77777777" w:rsidR="006B5620" w:rsidRPr="00AF0120" w:rsidRDefault="006B5620" w:rsidP="00AF0120">
            <w:pPr>
              <w:pStyle w:val="Default"/>
              <w:jc w:val="both"/>
              <w:rPr>
                <w:rFonts w:ascii="Times New Roman" w:hAnsi="Times New Roman" w:cs="Times New Roman"/>
                <w:sz w:val="22"/>
                <w:szCs w:val="22"/>
              </w:rPr>
            </w:pPr>
            <w:r w:rsidRPr="00AF0120">
              <w:rPr>
                <w:rFonts w:ascii="Times New Roman" w:hAnsi="Times New Roman" w:cs="Times New Roman"/>
                <w:sz w:val="22"/>
                <w:szCs w:val="22"/>
              </w:rPr>
              <w:t xml:space="preserve">En relación con este artículo 4, proponemos que se regulen los excesos pasivos, producidos como consecuencia de la valoración o variación cambiaria, con la finalidad de que los mismos no deban seguir el procedimiento establecido para los excesos activos, generados como consecuencia de la gestión del portafolio. Por ello se podría indicar un párrafo como el siguiente: </w:t>
            </w:r>
            <w:r w:rsidRPr="00AF0120">
              <w:rPr>
                <w:rFonts w:ascii="Times New Roman" w:hAnsi="Times New Roman" w:cs="Times New Roman"/>
                <w:i/>
                <w:iCs/>
                <w:sz w:val="22"/>
                <w:szCs w:val="22"/>
              </w:rPr>
              <w:t xml:space="preserve">“En el eventual caso de que se presente un exceso producido por cambios en la valoración o valoración cambiaria, corresponderá a la Alta Gerencia de la Operadora adoptar las medidas internas, para informar al Comité de Riesgos, Comité de Inversiones y Junta Directiva.” </w:t>
            </w:r>
          </w:p>
          <w:p w14:paraId="6A4D8AB8" w14:textId="77777777" w:rsidR="00AC27A1" w:rsidRPr="00A365D9" w:rsidRDefault="005A2429" w:rsidP="00AF0120">
            <w:pPr>
              <w:jc w:val="both"/>
              <w:rPr>
                <w:rFonts w:ascii="Times New Roman" w:hAnsi="Times New Roman" w:cs="Times New Roman"/>
                <w:b/>
                <w:lang w:val="es-CR"/>
              </w:rPr>
            </w:pPr>
            <w:r w:rsidRPr="00A365D9">
              <w:rPr>
                <w:rFonts w:ascii="Times New Roman" w:hAnsi="Times New Roman" w:cs="Times New Roman"/>
                <w:b/>
                <w:lang w:val="es-CR"/>
              </w:rPr>
              <w:lastRenderedPageBreak/>
              <w:t>BCROPC</w:t>
            </w:r>
            <w:r w:rsidR="00A365D9" w:rsidRPr="00A365D9">
              <w:rPr>
                <w:rFonts w:ascii="Times New Roman" w:hAnsi="Times New Roman" w:cs="Times New Roman"/>
                <w:b/>
                <w:lang w:val="es-CR"/>
              </w:rPr>
              <w:t>-142-19:</w:t>
            </w:r>
          </w:p>
          <w:p w14:paraId="751EFFA2" w14:textId="77777777" w:rsidR="00A365D9" w:rsidRDefault="00A365D9" w:rsidP="00AF0120">
            <w:pPr>
              <w:jc w:val="both"/>
              <w:rPr>
                <w:rFonts w:ascii="Times New Roman" w:hAnsi="Times New Roman" w:cs="Times New Roman"/>
                <w:lang w:val="es-CR"/>
              </w:rPr>
            </w:pPr>
            <w:r>
              <w:rPr>
                <w:rFonts w:ascii="Times New Roman" w:hAnsi="Times New Roman" w:cs="Times New Roman"/>
                <w:lang w:val="es-CR"/>
              </w:rPr>
              <w:t xml:space="preserve">En el inciso ii. </w:t>
            </w:r>
            <w:r w:rsidR="00B64BAB">
              <w:rPr>
                <w:rFonts w:ascii="Times New Roman" w:hAnsi="Times New Roman" w:cs="Times New Roman"/>
                <w:lang w:val="es-CR"/>
              </w:rPr>
              <w:t xml:space="preserve">Se debe considerar la siguiente redacción: </w:t>
            </w:r>
            <w:r w:rsidR="00B64BAB" w:rsidRPr="00D534C7">
              <w:rPr>
                <w:rFonts w:ascii="Times New Roman" w:hAnsi="Times New Roman" w:cs="Times New Roman"/>
                <w:i/>
                <w:lang w:val="es-CR"/>
              </w:rPr>
              <w:t>“</w:t>
            </w:r>
            <w:r w:rsidR="00B64BAB" w:rsidRPr="00D534C7">
              <w:rPr>
                <w:rFonts w:ascii="Times New Roman" w:hAnsi="Times New Roman" w:cs="Times New Roman"/>
                <w:i/>
              </w:rPr>
              <w:t xml:space="preserve">Propuesta del plan de reducción de </w:t>
            </w:r>
            <w:r w:rsidR="00D534C7" w:rsidRPr="00D534C7">
              <w:rPr>
                <w:rFonts w:ascii="Times New Roman" w:hAnsi="Times New Roman" w:cs="Times New Roman"/>
                <w:i/>
              </w:rPr>
              <w:t>excesos</w:t>
            </w:r>
            <w:r w:rsidR="00B64BAB" w:rsidRPr="00D534C7">
              <w:rPr>
                <w:rFonts w:ascii="Times New Roman" w:hAnsi="Times New Roman" w:cs="Times New Roman"/>
                <w:i/>
              </w:rPr>
              <w:t xml:space="preserve"> que incluya las actividades</w:t>
            </w:r>
            <w:r w:rsidR="00D534C7" w:rsidRPr="00D534C7">
              <w:rPr>
                <w:rFonts w:ascii="Times New Roman" w:hAnsi="Times New Roman" w:cs="Times New Roman"/>
                <w:i/>
              </w:rPr>
              <w:t>…</w:t>
            </w:r>
            <w:r w:rsidR="00B64BAB" w:rsidRPr="00D534C7">
              <w:rPr>
                <w:rFonts w:ascii="Times New Roman" w:hAnsi="Times New Roman" w:cs="Times New Roman"/>
                <w:i/>
                <w:lang w:val="es-CR"/>
              </w:rPr>
              <w:t>”</w:t>
            </w:r>
            <w:r w:rsidR="00D534C7">
              <w:rPr>
                <w:rFonts w:ascii="Times New Roman" w:hAnsi="Times New Roman" w:cs="Times New Roman"/>
                <w:lang w:val="es-CR"/>
              </w:rPr>
              <w:t xml:space="preserve"> dado que no necesariamente los excesos de los límites de inversión son equivalentes a riesgos, definiendo riesgos como eventos de perdidas o afectación de afiliados.</w:t>
            </w:r>
          </w:p>
          <w:p w14:paraId="6115D36E" w14:textId="5EF4C852" w:rsidR="008F5810" w:rsidRPr="00D534C7" w:rsidRDefault="008F5810" w:rsidP="00AF0120">
            <w:pPr>
              <w:jc w:val="both"/>
              <w:rPr>
                <w:rFonts w:ascii="Times New Roman" w:hAnsi="Times New Roman" w:cs="Times New Roman"/>
                <w:lang w:val="es-CR"/>
              </w:rPr>
            </w:pPr>
            <w:r>
              <w:rPr>
                <w:rFonts w:ascii="Times New Roman" w:hAnsi="Times New Roman" w:cs="Times New Roman"/>
                <w:lang w:val="es-CR"/>
              </w:rPr>
              <w:t xml:space="preserve">En el inciso iii. Se debe considerar la siguiente redacción: </w:t>
            </w:r>
            <w:r w:rsidRPr="004922E2">
              <w:rPr>
                <w:rFonts w:ascii="Times New Roman" w:hAnsi="Times New Roman" w:cs="Times New Roman"/>
                <w:i/>
                <w:lang w:val="es-CR"/>
              </w:rPr>
              <w:t>“</w:t>
            </w:r>
            <w:r w:rsidR="007F7BC7" w:rsidRPr="004922E2">
              <w:rPr>
                <w:rFonts w:ascii="Times New Roman" w:hAnsi="Times New Roman" w:cs="Times New Roman"/>
                <w:i/>
                <w:lang w:val="es-CR"/>
              </w:rPr>
              <w:t>La afectación material sobre el fondo que el exceso de límites produjo</w:t>
            </w:r>
            <w:r w:rsidRPr="004922E2">
              <w:rPr>
                <w:rFonts w:ascii="Times New Roman" w:hAnsi="Times New Roman" w:cs="Times New Roman"/>
                <w:i/>
                <w:lang w:val="es-CR"/>
              </w:rPr>
              <w:t>”</w:t>
            </w:r>
            <w:r w:rsidR="004922E2" w:rsidRPr="004922E2">
              <w:rPr>
                <w:rFonts w:ascii="Times New Roman" w:hAnsi="Times New Roman" w:cs="Times New Roman"/>
                <w:i/>
                <w:lang w:val="es-CR"/>
              </w:rPr>
              <w:t>.</w:t>
            </w:r>
            <w:r w:rsidR="004922E2">
              <w:rPr>
                <w:rFonts w:ascii="Times New Roman" w:hAnsi="Times New Roman" w:cs="Times New Roman"/>
                <w:lang w:val="es-CR"/>
              </w:rPr>
              <w:t xml:space="preserve"> Lo anterior porque un exceso en los límites de inversión no implica necesariamente riesgos cuantificables.</w:t>
            </w:r>
          </w:p>
        </w:tc>
        <w:tc>
          <w:tcPr>
            <w:tcW w:w="3533" w:type="dxa"/>
          </w:tcPr>
          <w:p w14:paraId="5DEF0FE8" w14:textId="77777777" w:rsidR="00AC27A1" w:rsidRDefault="00165D5A" w:rsidP="00AF0120">
            <w:pPr>
              <w:rPr>
                <w:rFonts w:ascii="Times New Roman" w:hAnsi="Times New Roman" w:cs="Times New Roman"/>
                <w:b/>
                <w:bCs/>
              </w:rPr>
            </w:pPr>
            <w:r>
              <w:rPr>
                <w:rFonts w:ascii="Times New Roman" w:hAnsi="Times New Roman" w:cs="Times New Roman"/>
                <w:b/>
                <w:bCs/>
              </w:rPr>
              <w:lastRenderedPageBreak/>
              <w:t xml:space="preserve">Respuesta </w:t>
            </w:r>
            <w:r w:rsidRPr="00AF0120">
              <w:rPr>
                <w:rFonts w:ascii="Times New Roman" w:hAnsi="Times New Roman" w:cs="Times New Roman"/>
                <w:b/>
                <w:bCs/>
              </w:rPr>
              <w:t>ACOP-022-2019</w:t>
            </w:r>
            <w:r>
              <w:rPr>
                <w:rFonts w:ascii="Times New Roman" w:hAnsi="Times New Roman" w:cs="Times New Roman"/>
                <w:b/>
                <w:bCs/>
              </w:rPr>
              <w:t>:</w:t>
            </w:r>
          </w:p>
          <w:p w14:paraId="292E920B" w14:textId="4AA16F12" w:rsidR="00A742E3" w:rsidRDefault="00A742E3" w:rsidP="00A22DFA">
            <w:pPr>
              <w:widowControl w:val="0"/>
              <w:autoSpaceDE w:val="0"/>
              <w:autoSpaceDN w:val="0"/>
              <w:adjustRightInd w:val="0"/>
              <w:jc w:val="both"/>
              <w:rPr>
                <w:rFonts w:ascii="Times New Roman" w:hAnsi="Times New Roman" w:cs="Times New Roman"/>
                <w:lang w:val="es-CR"/>
              </w:rPr>
            </w:pPr>
            <w:r>
              <w:rPr>
                <w:rFonts w:ascii="Times New Roman" w:hAnsi="Times New Roman" w:cs="Times New Roman"/>
                <w:lang w:val="es-CR"/>
              </w:rPr>
              <w:t>El artículo 72 del RGA habla de dos</w:t>
            </w:r>
            <w:r w:rsidR="00022263">
              <w:rPr>
                <w:rFonts w:ascii="Times New Roman" w:hAnsi="Times New Roman" w:cs="Times New Roman"/>
                <w:lang w:val="es-CR"/>
              </w:rPr>
              <w:t xml:space="preserve"> tipos de</w:t>
            </w:r>
            <w:r>
              <w:rPr>
                <w:rFonts w:ascii="Times New Roman" w:hAnsi="Times New Roman" w:cs="Times New Roman"/>
                <w:lang w:val="es-CR"/>
              </w:rPr>
              <w:t xml:space="preserve"> excesos: </w:t>
            </w:r>
          </w:p>
          <w:p w14:paraId="338339DF" w14:textId="0DDFF7E2" w:rsidR="00A742E3" w:rsidRPr="00A22DFA" w:rsidRDefault="00A742E3" w:rsidP="00A22DFA">
            <w:pPr>
              <w:widowControl w:val="0"/>
              <w:autoSpaceDE w:val="0"/>
              <w:autoSpaceDN w:val="0"/>
              <w:adjustRightInd w:val="0"/>
              <w:jc w:val="both"/>
              <w:rPr>
                <w:rFonts w:ascii="Times New Roman" w:hAnsi="Times New Roman" w:cs="Times New Roman"/>
                <w:lang w:val="es-CR"/>
              </w:rPr>
            </w:pPr>
            <w:r w:rsidRPr="00A22DFA">
              <w:rPr>
                <w:rFonts w:ascii="Times New Roman" w:hAnsi="Times New Roman" w:cs="Times New Roman"/>
                <w:lang w:val="es-CR"/>
              </w:rPr>
              <w:t xml:space="preserve">1.Cuando la relación entre la valoración de la posición invertida y su activo sobrepase los límites establecidos en el presente Reglamento. </w:t>
            </w:r>
          </w:p>
          <w:p w14:paraId="4C50022B" w14:textId="4DF52C53" w:rsidR="00A742E3" w:rsidRPr="00A22DFA" w:rsidRDefault="00A742E3" w:rsidP="00A22DFA">
            <w:pPr>
              <w:widowControl w:val="0"/>
              <w:autoSpaceDE w:val="0"/>
              <w:autoSpaceDN w:val="0"/>
              <w:adjustRightInd w:val="0"/>
              <w:jc w:val="both"/>
              <w:rPr>
                <w:rFonts w:ascii="Times New Roman" w:hAnsi="Times New Roman" w:cs="Times New Roman"/>
                <w:lang w:val="es-CR"/>
              </w:rPr>
            </w:pPr>
            <w:r w:rsidRPr="00A22DFA">
              <w:rPr>
                <w:rFonts w:ascii="Times New Roman" w:hAnsi="Times New Roman" w:cs="Times New Roman"/>
                <w:lang w:val="es-CR"/>
              </w:rPr>
              <w:t>2.En el evento de que se produzca un exceso en los límites</w:t>
            </w:r>
            <w:r w:rsidR="00A22DFA" w:rsidRPr="00A22DFA">
              <w:rPr>
                <w:rFonts w:ascii="Times New Roman" w:hAnsi="Times New Roman" w:cs="Times New Roman"/>
                <w:lang w:val="es-CR"/>
              </w:rPr>
              <w:t>.</w:t>
            </w:r>
          </w:p>
          <w:p w14:paraId="1C79921B" w14:textId="731A60EF" w:rsidR="005A7F4F" w:rsidRDefault="00A22DFA" w:rsidP="00A22DFA">
            <w:pPr>
              <w:jc w:val="both"/>
              <w:rPr>
                <w:rFonts w:ascii="Times New Roman" w:hAnsi="Times New Roman" w:cs="Times New Roman"/>
              </w:rPr>
            </w:pPr>
            <w:r>
              <w:rPr>
                <w:rFonts w:ascii="Times New Roman" w:hAnsi="Times New Roman" w:cs="Times New Roman"/>
              </w:rPr>
              <w:t>Por lo tanto, lo que ACOP llama excesos pasivos debe considerarse</w:t>
            </w:r>
            <w:r w:rsidR="0036754E">
              <w:rPr>
                <w:rFonts w:ascii="Times New Roman" w:hAnsi="Times New Roman" w:cs="Times New Roman"/>
              </w:rPr>
              <w:t xml:space="preserve"> como</w:t>
            </w:r>
            <w:r>
              <w:rPr>
                <w:rFonts w:ascii="Times New Roman" w:hAnsi="Times New Roman" w:cs="Times New Roman"/>
              </w:rPr>
              <w:t xml:space="preserve"> un exceso.</w:t>
            </w:r>
          </w:p>
          <w:p w14:paraId="79C164CA" w14:textId="77777777" w:rsidR="000E0829" w:rsidRDefault="000E0829" w:rsidP="00A22DFA">
            <w:pPr>
              <w:jc w:val="both"/>
              <w:rPr>
                <w:rFonts w:ascii="Times New Roman" w:hAnsi="Times New Roman" w:cs="Times New Roman"/>
              </w:rPr>
            </w:pPr>
          </w:p>
          <w:p w14:paraId="218F5339" w14:textId="77777777" w:rsidR="000450A6" w:rsidRDefault="000450A6" w:rsidP="004D1CD9">
            <w:pPr>
              <w:jc w:val="both"/>
              <w:rPr>
                <w:rFonts w:ascii="Times New Roman" w:hAnsi="Times New Roman" w:cs="Times New Roman"/>
                <w:b/>
                <w:lang w:val="es-CR"/>
              </w:rPr>
            </w:pPr>
          </w:p>
          <w:p w14:paraId="2FD16D9E" w14:textId="77777777" w:rsidR="000450A6" w:rsidRDefault="000450A6" w:rsidP="004D1CD9">
            <w:pPr>
              <w:jc w:val="both"/>
              <w:rPr>
                <w:rFonts w:ascii="Times New Roman" w:hAnsi="Times New Roman" w:cs="Times New Roman"/>
                <w:b/>
                <w:lang w:val="es-CR"/>
              </w:rPr>
            </w:pPr>
          </w:p>
          <w:p w14:paraId="5E9D3DB8" w14:textId="77777777" w:rsidR="000450A6" w:rsidRDefault="000450A6" w:rsidP="004D1CD9">
            <w:pPr>
              <w:jc w:val="both"/>
              <w:rPr>
                <w:rFonts w:ascii="Times New Roman" w:hAnsi="Times New Roman" w:cs="Times New Roman"/>
                <w:b/>
                <w:lang w:val="es-CR"/>
              </w:rPr>
            </w:pPr>
          </w:p>
          <w:p w14:paraId="5E78686C" w14:textId="77777777" w:rsidR="000450A6" w:rsidRDefault="000450A6" w:rsidP="004D1CD9">
            <w:pPr>
              <w:jc w:val="both"/>
              <w:rPr>
                <w:rFonts w:ascii="Times New Roman" w:hAnsi="Times New Roman" w:cs="Times New Roman"/>
                <w:b/>
                <w:lang w:val="es-CR"/>
              </w:rPr>
            </w:pPr>
          </w:p>
          <w:p w14:paraId="6E99A82F" w14:textId="77777777" w:rsidR="000450A6" w:rsidRDefault="000450A6" w:rsidP="004D1CD9">
            <w:pPr>
              <w:jc w:val="both"/>
              <w:rPr>
                <w:rFonts w:ascii="Times New Roman" w:hAnsi="Times New Roman" w:cs="Times New Roman"/>
                <w:b/>
                <w:lang w:val="es-CR"/>
              </w:rPr>
            </w:pPr>
          </w:p>
          <w:p w14:paraId="061C711B" w14:textId="77777777" w:rsidR="000450A6" w:rsidRDefault="000450A6" w:rsidP="004D1CD9">
            <w:pPr>
              <w:jc w:val="both"/>
              <w:rPr>
                <w:rFonts w:ascii="Times New Roman" w:hAnsi="Times New Roman" w:cs="Times New Roman"/>
                <w:b/>
                <w:lang w:val="es-CR"/>
              </w:rPr>
            </w:pPr>
          </w:p>
          <w:p w14:paraId="0C52AD70" w14:textId="17D5F4C9" w:rsidR="004D1CD9" w:rsidRPr="00A365D9" w:rsidRDefault="004D1CD9" w:rsidP="004D1CD9">
            <w:pPr>
              <w:jc w:val="both"/>
              <w:rPr>
                <w:rFonts w:ascii="Times New Roman" w:hAnsi="Times New Roman" w:cs="Times New Roman"/>
                <w:b/>
                <w:lang w:val="es-CR"/>
              </w:rPr>
            </w:pPr>
            <w:r>
              <w:rPr>
                <w:rFonts w:ascii="Times New Roman" w:hAnsi="Times New Roman" w:cs="Times New Roman"/>
                <w:b/>
                <w:lang w:val="es-CR"/>
              </w:rPr>
              <w:lastRenderedPageBreak/>
              <w:t xml:space="preserve">Respuesta </w:t>
            </w:r>
            <w:r w:rsidRPr="00A365D9">
              <w:rPr>
                <w:rFonts w:ascii="Times New Roman" w:hAnsi="Times New Roman" w:cs="Times New Roman"/>
                <w:b/>
                <w:lang w:val="es-CR"/>
              </w:rPr>
              <w:t>BCROPC-142-19:</w:t>
            </w:r>
          </w:p>
          <w:p w14:paraId="1D5D1767" w14:textId="6285357B" w:rsidR="000E0829" w:rsidRPr="00A742E3" w:rsidRDefault="000450A6" w:rsidP="00A22DFA">
            <w:pPr>
              <w:jc w:val="both"/>
              <w:rPr>
                <w:rFonts w:ascii="Times New Roman" w:hAnsi="Times New Roman" w:cs="Times New Roman"/>
              </w:rPr>
            </w:pPr>
            <w:r>
              <w:rPr>
                <w:rFonts w:ascii="Times New Roman" w:hAnsi="Times New Roman" w:cs="Times New Roman"/>
              </w:rPr>
              <w:t>S</w:t>
            </w:r>
            <w:r w:rsidR="000E0829">
              <w:rPr>
                <w:rFonts w:ascii="Times New Roman" w:hAnsi="Times New Roman" w:cs="Times New Roman"/>
              </w:rPr>
              <w:t xml:space="preserve">e habla de </w:t>
            </w:r>
            <w:r w:rsidR="000E0829" w:rsidRPr="00AF0120">
              <w:rPr>
                <w:rFonts w:ascii="Times New Roman" w:hAnsi="Times New Roman" w:cs="Times New Roman"/>
              </w:rPr>
              <w:t>planes de reducción de riesgos</w:t>
            </w:r>
            <w:r w:rsidR="000E0829">
              <w:rPr>
                <w:rFonts w:ascii="Times New Roman" w:hAnsi="Times New Roman" w:cs="Times New Roman"/>
              </w:rPr>
              <w:t xml:space="preserve"> porque así esta</w:t>
            </w:r>
            <w:r w:rsidR="000E0829" w:rsidRPr="00AF0120">
              <w:rPr>
                <w:rFonts w:ascii="Times New Roman" w:hAnsi="Times New Roman" w:cs="Times New Roman"/>
              </w:rPr>
              <w:t xml:space="preserve"> previsto en el párrafo primero del artículo 64 de la Ley N°7983</w:t>
            </w:r>
            <w:r>
              <w:rPr>
                <w:rFonts w:ascii="Times New Roman" w:hAnsi="Times New Roman" w:cs="Times New Roman"/>
              </w:rPr>
              <w:t>.</w:t>
            </w:r>
          </w:p>
        </w:tc>
        <w:tc>
          <w:tcPr>
            <w:tcW w:w="3533" w:type="dxa"/>
          </w:tcPr>
          <w:p w14:paraId="71BF5920" w14:textId="77777777" w:rsidR="00F734DF" w:rsidRPr="00AF0120" w:rsidRDefault="00F734DF" w:rsidP="00F734DF">
            <w:pPr>
              <w:jc w:val="both"/>
              <w:rPr>
                <w:rFonts w:ascii="Times New Roman" w:hAnsi="Times New Roman" w:cs="Times New Roman"/>
                <w:b/>
              </w:rPr>
            </w:pPr>
            <w:r w:rsidRPr="00AF0120">
              <w:rPr>
                <w:rFonts w:ascii="Times New Roman" w:hAnsi="Times New Roman" w:cs="Times New Roman"/>
                <w:b/>
              </w:rPr>
              <w:lastRenderedPageBreak/>
              <w:t>Artículo 4.</w:t>
            </w:r>
            <w:r w:rsidRPr="00AF0120">
              <w:rPr>
                <w:rFonts w:ascii="Times New Roman" w:hAnsi="Times New Roman" w:cs="Times New Roman"/>
                <w:b/>
              </w:rPr>
              <w:tab/>
              <w:t>Divulgación del exceso</w:t>
            </w:r>
          </w:p>
          <w:p w14:paraId="54CB2672" w14:textId="77777777" w:rsidR="00F734DF" w:rsidRPr="00AF0120" w:rsidRDefault="00F734DF" w:rsidP="00F734DF">
            <w:pPr>
              <w:jc w:val="both"/>
              <w:rPr>
                <w:rFonts w:ascii="Times New Roman" w:hAnsi="Times New Roman" w:cs="Times New Roman"/>
              </w:rPr>
            </w:pPr>
            <w:r w:rsidRPr="00AF0120">
              <w:rPr>
                <w:rFonts w:ascii="Times New Roman" w:hAnsi="Times New Roman" w:cs="Times New Roman"/>
              </w:rPr>
              <w:t>El exceso deberá ser notificado inmediatamente por la alta gerencia al Comité de Riesgos, al Comité de Inversiones y a la Junta Directiva u Órgano de Dirección.</w:t>
            </w:r>
          </w:p>
          <w:p w14:paraId="108ECD24" w14:textId="77777777" w:rsidR="00F734DF" w:rsidRPr="00AF0120" w:rsidRDefault="00F734DF" w:rsidP="00F734DF">
            <w:pPr>
              <w:jc w:val="both"/>
              <w:rPr>
                <w:rFonts w:ascii="Times New Roman" w:hAnsi="Times New Roman" w:cs="Times New Roman"/>
              </w:rPr>
            </w:pPr>
            <w:r w:rsidRPr="00AF0120">
              <w:rPr>
                <w:rFonts w:ascii="Times New Roman" w:hAnsi="Times New Roman" w:cs="Times New Roman"/>
              </w:rPr>
              <w:t xml:space="preserve">   </w:t>
            </w:r>
          </w:p>
          <w:p w14:paraId="51609CDE" w14:textId="77777777" w:rsidR="00F734DF" w:rsidRPr="00AF0120" w:rsidRDefault="00F734DF" w:rsidP="00F734DF">
            <w:pPr>
              <w:jc w:val="both"/>
              <w:rPr>
                <w:rFonts w:ascii="Times New Roman" w:hAnsi="Times New Roman" w:cs="Times New Roman"/>
              </w:rPr>
            </w:pPr>
            <w:r w:rsidRPr="00AF0120">
              <w:rPr>
                <w:rFonts w:ascii="Times New Roman" w:hAnsi="Times New Roman" w:cs="Times New Roman"/>
              </w:rPr>
              <w:t>La alta gerencia deberá preparar un informe que deberá ser aprobado por el Comité de Inversiones y contendrá, al menos:</w:t>
            </w:r>
          </w:p>
          <w:p w14:paraId="026ED2BC" w14:textId="77777777" w:rsidR="00F734DF" w:rsidRPr="00AF0120" w:rsidRDefault="00F734DF" w:rsidP="00F734DF">
            <w:pPr>
              <w:pStyle w:val="Prrafodelista"/>
              <w:numPr>
                <w:ilvl w:val="0"/>
                <w:numId w:val="6"/>
              </w:numPr>
              <w:spacing w:line="240" w:lineRule="auto"/>
              <w:jc w:val="both"/>
              <w:rPr>
                <w:rFonts w:cs="Times New Roman"/>
                <w:sz w:val="22"/>
              </w:rPr>
            </w:pPr>
            <w:r w:rsidRPr="00AF0120">
              <w:rPr>
                <w:rFonts w:cs="Times New Roman"/>
                <w:sz w:val="22"/>
              </w:rPr>
              <w:t>Descripción pormenorizada y documentada de los valores que provocaron el exceso y la situación que lo provocó.</w:t>
            </w:r>
          </w:p>
          <w:p w14:paraId="709720DA" w14:textId="77777777" w:rsidR="00F734DF" w:rsidRPr="00AF0120" w:rsidRDefault="00F734DF" w:rsidP="00F734DF">
            <w:pPr>
              <w:pStyle w:val="Prrafodelista"/>
              <w:numPr>
                <w:ilvl w:val="0"/>
                <w:numId w:val="6"/>
              </w:numPr>
              <w:spacing w:line="240" w:lineRule="auto"/>
              <w:jc w:val="both"/>
              <w:rPr>
                <w:rFonts w:cs="Times New Roman"/>
                <w:sz w:val="22"/>
              </w:rPr>
            </w:pPr>
            <w:r w:rsidRPr="00AF0120">
              <w:rPr>
                <w:rFonts w:cs="Times New Roman"/>
                <w:sz w:val="22"/>
              </w:rPr>
              <w:t xml:space="preserve">Propuesta del plan de reducción de riesgos que incluya las actividades, los </w:t>
            </w:r>
            <w:r w:rsidRPr="00AF0120">
              <w:rPr>
                <w:rFonts w:cs="Times New Roman"/>
                <w:sz w:val="22"/>
              </w:rPr>
              <w:lastRenderedPageBreak/>
              <w:t>responsables y las fechas de ejecución del plan.</w:t>
            </w:r>
          </w:p>
          <w:p w14:paraId="70D451FE" w14:textId="77777777" w:rsidR="00F734DF" w:rsidRPr="00AF0120" w:rsidRDefault="00F734DF" w:rsidP="00F734DF">
            <w:pPr>
              <w:pStyle w:val="Prrafodelista"/>
              <w:numPr>
                <w:ilvl w:val="0"/>
                <w:numId w:val="6"/>
              </w:numPr>
              <w:spacing w:line="240" w:lineRule="auto"/>
              <w:jc w:val="both"/>
              <w:rPr>
                <w:rFonts w:cs="Times New Roman"/>
                <w:sz w:val="22"/>
              </w:rPr>
            </w:pPr>
            <w:r w:rsidRPr="00AF0120">
              <w:rPr>
                <w:rFonts w:cs="Times New Roman"/>
                <w:sz w:val="22"/>
              </w:rPr>
              <w:t>Los riesgos sobre el fondo que el exceso de límites produjo.</w:t>
            </w:r>
          </w:p>
          <w:p w14:paraId="1757883D" w14:textId="77777777" w:rsidR="00AC27A1" w:rsidRPr="00AF0120" w:rsidRDefault="00AC27A1" w:rsidP="00AF0120">
            <w:pPr>
              <w:rPr>
                <w:rFonts w:ascii="Times New Roman" w:hAnsi="Times New Roman" w:cs="Times New Roman"/>
              </w:rPr>
            </w:pPr>
          </w:p>
        </w:tc>
      </w:tr>
      <w:tr w:rsidR="00D87F6B" w:rsidRPr="00AF0120" w14:paraId="5D1F2322" w14:textId="77777777" w:rsidTr="00AC27A1">
        <w:trPr>
          <w:trHeight w:val="250"/>
        </w:trPr>
        <w:tc>
          <w:tcPr>
            <w:tcW w:w="3533" w:type="dxa"/>
          </w:tcPr>
          <w:p w14:paraId="20DF61D1" w14:textId="77777777" w:rsidR="002E245E" w:rsidRPr="00AF0120" w:rsidRDefault="002E245E" w:rsidP="00AF0120">
            <w:pPr>
              <w:jc w:val="both"/>
              <w:rPr>
                <w:rFonts w:ascii="Times New Roman" w:hAnsi="Times New Roman" w:cs="Times New Roman"/>
                <w:b/>
              </w:rPr>
            </w:pPr>
            <w:r w:rsidRPr="00AF0120">
              <w:rPr>
                <w:rFonts w:ascii="Times New Roman" w:hAnsi="Times New Roman" w:cs="Times New Roman"/>
                <w:b/>
              </w:rPr>
              <w:lastRenderedPageBreak/>
              <w:t>Artículo 5. Restablecimiento de límites</w:t>
            </w:r>
          </w:p>
          <w:p w14:paraId="0B988A83" w14:textId="21255D38" w:rsidR="00D87F6B" w:rsidRPr="00AF0120" w:rsidRDefault="002E245E" w:rsidP="00AF0120">
            <w:pPr>
              <w:jc w:val="both"/>
              <w:rPr>
                <w:rFonts w:ascii="Times New Roman" w:hAnsi="Times New Roman" w:cs="Times New Roman"/>
              </w:rPr>
            </w:pPr>
            <w:r w:rsidRPr="00AF0120">
              <w:rPr>
                <w:rFonts w:ascii="Times New Roman" w:hAnsi="Times New Roman" w:cs="Times New Roman"/>
              </w:rPr>
              <w:t>Una vez reestablecidos los límites, la entidad supervisada deberá informar a la Superintendencia de Pensiones, de forma documentada, el efecto económico que los fondos hayan sufrido, expresado en la moneda que corresponda, producto de la violación de límites y su restablecimiento.</w:t>
            </w:r>
          </w:p>
        </w:tc>
        <w:tc>
          <w:tcPr>
            <w:tcW w:w="3533" w:type="dxa"/>
          </w:tcPr>
          <w:p w14:paraId="76066FB8" w14:textId="77777777" w:rsidR="00D87F6B" w:rsidRPr="00AF0120" w:rsidRDefault="00D87F6B" w:rsidP="00AF0120">
            <w:pPr>
              <w:jc w:val="both"/>
              <w:rPr>
                <w:rFonts w:ascii="Times New Roman" w:hAnsi="Times New Roman" w:cs="Times New Roman"/>
              </w:rPr>
            </w:pPr>
          </w:p>
        </w:tc>
        <w:tc>
          <w:tcPr>
            <w:tcW w:w="3533" w:type="dxa"/>
          </w:tcPr>
          <w:p w14:paraId="6FF8E585" w14:textId="77777777" w:rsidR="00D87F6B" w:rsidRPr="00AF0120" w:rsidRDefault="00D87F6B" w:rsidP="00AF0120">
            <w:pPr>
              <w:rPr>
                <w:rFonts w:ascii="Times New Roman" w:hAnsi="Times New Roman" w:cs="Times New Roman"/>
              </w:rPr>
            </w:pPr>
          </w:p>
        </w:tc>
        <w:tc>
          <w:tcPr>
            <w:tcW w:w="3533" w:type="dxa"/>
          </w:tcPr>
          <w:p w14:paraId="574B1155" w14:textId="77777777" w:rsidR="00F734DF" w:rsidRPr="00AF0120" w:rsidRDefault="00F734DF" w:rsidP="00F734DF">
            <w:pPr>
              <w:jc w:val="both"/>
              <w:rPr>
                <w:rFonts w:ascii="Times New Roman" w:hAnsi="Times New Roman" w:cs="Times New Roman"/>
                <w:b/>
              </w:rPr>
            </w:pPr>
            <w:r w:rsidRPr="00AF0120">
              <w:rPr>
                <w:rFonts w:ascii="Times New Roman" w:hAnsi="Times New Roman" w:cs="Times New Roman"/>
                <w:b/>
              </w:rPr>
              <w:t>Artículo 5. Restablecimiento de límites</w:t>
            </w:r>
          </w:p>
          <w:p w14:paraId="3A8A0CF0" w14:textId="75E4D59F" w:rsidR="00D87F6B" w:rsidRPr="00AF0120" w:rsidRDefault="00F734DF" w:rsidP="00F734DF">
            <w:pPr>
              <w:rPr>
                <w:rFonts w:ascii="Times New Roman" w:hAnsi="Times New Roman" w:cs="Times New Roman"/>
              </w:rPr>
            </w:pPr>
            <w:r w:rsidRPr="00AF0120">
              <w:rPr>
                <w:rFonts w:ascii="Times New Roman" w:hAnsi="Times New Roman" w:cs="Times New Roman"/>
              </w:rPr>
              <w:t>Una vez reestablecidos los límites, la entidad supervisada deberá informar a la Superintendencia de Pensiones, de forma documentada, el efecto económico que los fondos hayan sufrido, expresado en la moneda que corresponda, producto de la violación de límites y su restablecimiento.</w:t>
            </w:r>
          </w:p>
        </w:tc>
      </w:tr>
      <w:tr w:rsidR="00D87F6B" w:rsidRPr="00AF0120" w14:paraId="055148D7" w14:textId="77777777" w:rsidTr="00AC27A1">
        <w:trPr>
          <w:trHeight w:val="250"/>
        </w:trPr>
        <w:tc>
          <w:tcPr>
            <w:tcW w:w="3533" w:type="dxa"/>
          </w:tcPr>
          <w:p w14:paraId="3320848F" w14:textId="77777777" w:rsidR="00902D86" w:rsidRPr="00AF0120" w:rsidRDefault="00902D86" w:rsidP="00AF0120">
            <w:pPr>
              <w:jc w:val="center"/>
              <w:rPr>
                <w:rFonts w:ascii="Times New Roman" w:hAnsi="Times New Roman" w:cs="Times New Roman"/>
                <w:b/>
              </w:rPr>
            </w:pPr>
            <w:r w:rsidRPr="00AF0120">
              <w:rPr>
                <w:rFonts w:ascii="Times New Roman" w:hAnsi="Times New Roman" w:cs="Times New Roman"/>
                <w:b/>
              </w:rPr>
              <w:t>CAPITULO II</w:t>
            </w:r>
          </w:p>
          <w:p w14:paraId="0E93C84A" w14:textId="56764A83" w:rsidR="00D87F6B" w:rsidRPr="00AF0120" w:rsidRDefault="00902D86" w:rsidP="00AF0120">
            <w:pPr>
              <w:jc w:val="center"/>
              <w:rPr>
                <w:rFonts w:ascii="Times New Roman" w:hAnsi="Times New Roman" w:cs="Times New Roman"/>
                <w:b/>
              </w:rPr>
            </w:pPr>
            <w:r w:rsidRPr="00AF0120">
              <w:rPr>
                <w:rFonts w:ascii="Times New Roman" w:hAnsi="Times New Roman" w:cs="Times New Roman"/>
                <w:b/>
              </w:rPr>
              <w:t xml:space="preserve">INCUMPLIMIENTO POR PÉRDIDA DE REQUISITOS </w:t>
            </w:r>
            <w:r w:rsidRPr="00AF0120">
              <w:rPr>
                <w:rFonts w:ascii="Times New Roman" w:hAnsi="Times New Roman" w:cs="Times New Roman"/>
                <w:b/>
              </w:rPr>
              <w:lastRenderedPageBreak/>
              <w:t>ESTABLECIDOS EN EL REGLAMENTO</w:t>
            </w:r>
          </w:p>
        </w:tc>
        <w:tc>
          <w:tcPr>
            <w:tcW w:w="3533" w:type="dxa"/>
          </w:tcPr>
          <w:p w14:paraId="567778CD" w14:textId="77777777" w:rsidR="00D87F6B" w:rsidRPr="00AF0120" w:rsidRDefault="00D87F6B" w:rsidP="00AF0120">
            <w:pPr>
              <w:jc w:val="both"/>
              <w:rPr>
                <w:rFonts w:ascii="Times New Roman" w:hAnsi="Times New Roman" w:cs="Times New Roman"/>
              </w:rPr>
            </w:pPr>
          </w:p>
        </w:tc>
        <w:tc>
          <w:tcPr>
            <w:tcW w:w="3533" w:type="dxa"/>
          </w:tcPr>
          <w:p w14:paraId="406239F9" w14:textId="77777777" w:rsidR="00D87F6B" w:rsidRPr="00AF0120" w:rsidRDefault="00D87F6B" w:rsidP="00AF0120">
            <w:pPr>
              <w:rPr>
                <w:rFonts w:ascii="Times New Roman" w:hAnsi="Times New Roman" w:cs="Times New Roman"/>
              </w:rPr>
            </w:pPr>
          </w:p>
        </w:tc>
        <w:tc>
          <w:tcPr>
            <w:tcW w:w="3533" w:type="dxa"/>
          </w:tcPr>
          <w:p w14:paraId="1BCB92B7" w14:textId="77777777" w:rsidR="00F734DF" w:rsidRPr="00AF0120" w:rsidRDefault="00F734DF" w:rsidP="00F734DF">
            <w:pPr>
              <w:jc w:val="center"/>
              <w:rPr>
                <w:rFonts w:ascii="Times New Roman" w:hAnsi="Times New Roman" w:cs="Times New Roman"/>
                <w:b/>
              </w:rPr>
            </w:pPr>
            <w:r w:rsidRPr="00AF0120">
              <w:rPr>
                <w:rFonts w:ascii="Times New Roman" w:hAnsi="Times New Roman" w:cs="Times New Roman"/>
                <w:b/>
              </w:rPr>
              <w:t>CAPITULO II</w:t>
            </w:r>
          </w:p>
          <w:p w14:paraId="1356D5B5" w14:textId="6BC84647" w:rsidR="00D87F6B" w:rsidRPr="00AF0120" w:rsidRDefault="00F734DF" w:rsidP="00F734DF">
            <w:pPr>
              <w:jc w:val="center"/>
              <w:rPr>
                <w:rFonts w:ascii="Times New Roman" w:hAnsi="Times New Roman" w:cs="Times New Roman"/>
              </w:rPr>
            </w:pPr>
            <w:r w:rsidRPr="00AF0120">
              <w:rPr>
                <w:rFonts w:ascii="Times New Roman" w:hAnsi="Times New Roman" w:cs="Times New Roman"/>
                <w:b/>
              </w:rPr>
              <w:t xml:space="preserve">INCUMPLIMIENTO POR PÉRDIDA DE REQUISITOS </w:t>
            </w:r>
            <w:r w:rsidRPr="00AF0120">
              <w:rPr>
                <w:rFonts w:ascii="Times New Roman" w:hAnsi="Times New Roman" w:cs="Times New Roman"/>
                <w:b/>
              </w:rPr>
              <w:lastRenderedPageBreak/>
              <w:t>ESTABLECIDOS EN EL REGLAMENTO</w:t>
            </w:r>
          </w:p>
        </w:tc>
      </w:tr>
      <w:tr w:rsidR="00D87F6B" w:rsidRPr="00AF0120" w14:paraId="2CD882E6" w14:textId="77777777" w:rsidTr="00AC27A1">
        <w:trPr>
          <w:trHeight w:val="250"/>
        </w:trPr>
        <w:tc>
          <w:tcPr>
            <w:tcW w:w="3533" w:type="dxa"/>
          </w:tcPr>
          <w:p w14:paraId="17C1FCF0" w14:textId="77777777" w:rsidR="004B0E8F" w:rsidRPr="00AF0120" w:rsidRDefault="004B0E8F" w:rsidP="00AF0120">
            <w:pPr>
              <w:jc w:val="both"/>
              <w:rPr>
                <w:rFonts w:ascii="Times New Roman" w:hAnsi="Times New Roman" w:cs="Times New Roman"/>
                <w:b/>
              </w:rPr>
            </w:pPr>
            <w:r w:rsidRPr="00AF0120">
              <w:rPr>
                <w:rFonts w:ascii="Times New Roman" w:hAnsi="Times New Roman" w:cs="Times New Roman"/>
                <w:b/>
              </w:rPr>
              <w:lastRenderedPageBreak/>
              <w:t>Artículo 6. Falta de requisitos</w:t>
            </w:r>
          </w:p>
          <w:p w14:paraId="49AE8BB9" w14:textId="68275A0E" w:rsidR="004B0E8F" w:rsidRPr="00AF0120" w:rsidRDefault="004B0E8F" w:rsidP="00AF0120">
            <w:pPr>
              <w:jc w:val="both"/>
              <w:rPr>
                <w:rFonts w:ascii="Times New Roman" w:hAnsi="Times New Roman" w:cs="Times New Roman"/>
              </w:rPr>
            </w:pPr>
            <w:r w:rsidRPr="00AF0120">
              <w:rPr>
                <w:rFonts w:ascii="Times New Roman" w:hAnsi="Times New Roman" w:cs="Times New Roman"/>
              </w:rPr>
              <w:t>La falta de requisitos prexistentes o sobrevinientes, de las condiciones exigidas en el Reglamento de Gestión de Activos se produce por:</w:t>
            </w:r>
          </w:p>
          <w:p w14:paraId="483310D9" w14:textId="77777777" w:rsidR="004B0E8F" w:rsidRPr="00AF0120" w:rsidRDefault="004B0E8F" w:rsidP="00AF0120">
            <w:pPr>
              <w:pStyle w:val="Prrafodelista"/>
              <w:numPr>
                <w:ilvl w:val="0"/>
                <w:numId w:val="2"/>
              </w:numPr>
              <w:spacing w:line="240" w:lineRule="auto"/>
              <w:jc w:val="both"/>
              <w:rPr>
                <w:rFonts w:cs="Times New Roman"/>
                <w:sz w:val="22"/>
              </w:rPr>
            </w:pPr>
            <w:r w:rsidRPr="00AF0120">
              <w:rPr>
                <w:rFonts w:cs="Times New Roman"/>
                <w:sz w:val="22"/>
              </w:rPr>
              <w:t>Realizar inversiones.</w:t>
            </w:r>
          </w:p>
          <w:p w14:paraId="6A1A2A19" w14:textId="77777777" w:rsidR="004B0E8F" w:rsidRPr="00AF0120" w:rsidRDefault="004B0E8F" w:rsidP="00AF0120">
            <w:pPr>
              <w:pStyle w:val="Prrafodelista"/>
              <w:numPr>
                <w:ilvl w:val="0"/>
                <w:numId w:val="2"/>
              </w:numPr>
              <w:spacing w:line="240" w:lineRule="auto"/>
              <w:jc w:val="both"/>
              <w:rPr>
                <w:rFonts w:cs="Times New Roman"/>
                <w:sz w:val="22"/>
              </w:rPr>
            </w:pPr>
            <w:r w:rsidRPr="00AF0120">
              <w:rPr>
                <w:rFonts w:cs="Times New Roman"/>
                <w:sz w:val="22"/>
              </w:rPr>
              <w:t>Otorgar créditos.</w:t>
            </w:r>
          </w:p>
          <w:p w14:paraId="1A64098B" w14:textId="3D343FC1" w:rsidR="00D87F6B" w:rsidRPr="00AF0120" w:rsidRDefault="004B0E8F" w:rsidP="00AF0120">
            <w:pPr>
              <w:pStyle w:val="Prrafodelista"/>
              <w:numPr>
                <w:ilvl w:val="0"/>
                <w:numId w:val="2"/>
              </w:numPr>
              <w:spacing w:line="240" w:lineRule="auto"/>
              <w:jc w:val="both"/>
              <w:rPr>
                <w:rFonts w:cs="Times New Roman"/>
                <w:sz w:val="22"/>
              </w:rPr>
            </w:pPr>
            <w:r w:rsidRPr="00AF0120">
              <w:rPr>
                <w:rFonts w:cs="Times New Roman"/>
                <w:sz w:val="22"/>
              </w:rPr>
              <w:t>Contratar proveedores de servicios.</w:t>
            </w:r>
          </w:p>
        </w:tc>
        <w:tc>
          <w:tcPr>
            <w:tcW w:w="3533" w:type="dxa"/>
          </w:tcPr>
          <w:p w14:paraId="0ACEDE22" w14:textId="77777777" w:rsidR="00D87F6B" w:rsidRPr="00AF0120" w:rsidRDefault="00D87F6B" w:rsidP="00AF0120">
            <w:pPr>
              <w:jc w:val="both"/>
              <w:rPr>
                <w:rFonts w:ascii="Times New Roman" w:hAnsi="Times New Roman" w:cs="Times New Roman"/>
              </w:rPr>
            </w:pPr>
          </w:p>
        </w:tc>
        <w:tc>
          <w:tcPr>
            <w:tcW w:w="3533" w:type="dxa"/>
          </w:tcPr>
          <w:p w14:paraId="3D2C8084" w14:textId="77777777" w:rsidR="00D87F6B" w:rsidRPr="00AF0120" w:rsidRDefault="00D87F6B" w:rsidP="00AF0120">
            <w:pPr>
              <w:rPr>
                <w:rFonts w:ascii="Times New Roman" w:hAnsi="Times New Roman" w:cs="Times New Roman"/>
              </w:rPr>
            </w:pPr>
          </w:p>
        </w:tc>
        <w:tc>
          <w:tcPr>
            <w:tcW w:w="3533" w:type="dxa"/>
          </w:tcPr>
          <w:p w14:paraId="4DE4B9CB" w14:textId="77777777" w:rsidR="00F734DF" w:rsidRPr="00AF0120" w:rsidRDefault="00F734DF" w:rsidP="00F734DF">
            <w:pPr>
              <w:jc w:val="both"/>
              <w:rPr>
                <w:rFonts w:ascii="Times New Roman" w:hAnsi="Times New Roman" w:cs="Times New Roman"/>
                <w:b/>
              </w:rPr>
            </w:pPr>
            <w:r w:rsidRPr="00AF0120">
              <w:rPr>
                <w:rFonts w:ascii="Times New Roman" w:hAnsi="Times New Roman" w:cs="Times New Roman"/>
                <w:b/>
              </w:rPr>
              <w:t>Artículo 6. Falta de requisitos</w:t>
            </w:r>
          </w:p>
          <w:p w14:paraId="5AB88047" w14:textId="77777777" w:rsidR="00F734DF" w:rsidRPr="00AF0120" w:rsidRDefault="00F734DF" w:rsidP="00F734DF">
            <w:pPr>
              <w:jc w:val="both"/>
              <w:rPr>
                <w:rFonts w:ascii="Times New Roman" w:hAnsi="Times New Roman" w:cs="Times New Roman"/>
              </w:rPr>
            </w:pPr>
            <w:r w:rsidRPr="00AF0120">
              <w:rPr>
                <w:rFonts w:ascii="Times New Roman" w:hAnsi="Times New Roman" w:cs="Times New Roman"/>
              </w:rPr>
              <w:t>La falta de requisitos prexistentes o sobrevinientes, de las condiciones exigidas en el Reglamento de Gestión de Activos se produce por:</w:t>
            </w:r>
          </w:p>
          <w:p w14:paraId="731E1455" w14:textId="77777777" w:rsidR="00F734DF" w:rsidRPr="00AF0120" w:rsidRDefault="00F734DF" w:rsidP="00F734DF">
            <w:pPr>
              <w:pStyle w:val="Prrafodelista"/>
              <w:numPr>
                <w:ilvl w:val="0"/>
                <w:numId w:val="8"/>
              </w:numPr>
              <w:spacing w:line="240" w:lineRule="auto"/>
              <w:jc w:val="both"/>
              <w:rPr>
                <w:rFonts w:cs="Times New Roman"/>
                <w:sz w:val="22"/>
              </w:rPr>
            </w:pPr>
            <w:r w:rsidRPr="00AF0120">
              <w:rPr>
                <w:rFonts w:cs="Times New Roman"/>
                <w:sz w:val="22"/>
              </w:rPr>
              <w:t>Realizar inversiones.</w:t>
            </w:r>
          </w:p>
          <w:p w14:paraId="63FEFA56" w14:textId="5FCE9743" w:rsidR="00F734DF" w:rsidRDefault="00F734DF" w:rsidP="00F734DF">
            <w:pPr>
              <w:pStyle w:val="Prrafodelista"/>
              <w:numPr>
                <w:ilvl w:val="0"/>
                <w:numId w:val="8"/>
              </w:numPr>
              <w:spacing w:line="240" w:lineRule="auto"/>
              <w:jc w:val="both"/>
              <w:rPr>
                <w:rFonts w:cs="Times New Roman"/>
                <w:sz w:val="22"/>
              </w:rPr>
            </w:pPr>
            <w:r w:rsidRPr="00AF0120">
              <w:rPr>
                <w:rFonts w:cs="Times New Roman"/>
                <w:sz w:val="22"/>
              </w:rPr>
              <w:t>Otorgar créditos.</w:t>
            </w:r>
          </w:p>
          <w:p w14:paraId="6F4B0A56" w14:textId="47D6A004" w:rsidR="00D87F6B" w:rsidRPr="00F734DF" w:rsidRDefault="00F734DF" w:rsidP="00F734DF">
            <w:pPr>
              <w:pStyle w:val="Prrafodelista"/>
              <w:numPr>
                <w:ilvl w:val="0"/>
                <w:numId w:val="8"/>
              </w:numPr>
              <w:spacing w:line="240" w:lineRule="auto"/>
              <w:jc w:val="both"/>
              <w:rPr>
                <w:rFonts w:cs="Times New Roman"/>
                <w:sz w:val="22"/>
              </w:rPr>
            </w:pPr>
            <w:r w:rsidRPr="00F734DF">
              <w:rPr>
                <w:rFonts w:cs="Times New Roman"/>
              </w:rPr>
              <w:t>Contratar proveedores de servicios.</w:t>
            </w:r>
          </w:p>
        </w:tc>
      </w:tr>
      <w:tr w:rsidR="00D87F6B" w:rsidRPr="00AF0120" w14:paraId="74A63347" w14:textId="77777777" w:rsidTr="00AC27A1">
        <w:trPr>
          <w:trHeight w:val="250"/>
        </w:trPr>
        <w:tc>
          <w:tcPr>
            <w:tcW w:w="3533" w:type="dxa"/>
          </w:tcPr>
          <w:p w14:paraId="0F0D3862" w14:textId="77777777" w:rsidR="00604479" w:rsidRPr="00AF0120" w:rsidRDefault="00604479" w:rsidP="00AF0120">
            <w:pPr>
              <w:jc w:val="both"/>
              <w:rPr>
                <w:rFonts w:ascii="Times New Roman" w:hAnsi="Times New Roman" w:cs="Times New Roman"/>
                <w:b/>
              </w:rPr>
            </w:pPr>
            <w:r w:rsidRPr="00AF0120">
              <w:rPr>
                <w:rFonts w:ascii="Times New Roman" w:hAnsi="Times New Roman" w:cs="Times New Roman"/>
                <w:b/>
              </w:rPr>
              <w:t>Artículo 7. Pérdida de requisitos de los valores</w:t>
            </w:r>
          </w:p>
          <w:p w14:paraId="6051013B" w14:textId="08148141" w:rsidR="00604479" w:rsidRPr="00AF0120" w:rsidRDefault="00604479" w:rsidP="00AF0120">
            <w:pPr>
              <w:jc w:val="both"/>
              <w:rPr>
                <w:rFonts w:ascii="Times New Roman" w:hAnsi="Times New Roman" w:cs="Times New Roman"/>
              </w:rPr>
            </w:pPr>
            <w:r w:rsidRPr="00AF0120">
              <w:rPr>
                <w:rFonts w:ascii="Times New Roman" w:hAnsi="Times New Roman" w:cs="Times New Roman"/>
              </w:rPr>
              <w:t>Cuando los valores que conformen los portafolios de los fondos administrados pierdan, con posterioridad a su adquisición, alguno o varios de los requisitos</w:t>
            </w:r>
            <w:r w:rsidR="003F5DB6">
              <w:rPr>
                <w:rFonts w:ascii="Times New Roman" w:hAnsi="Times New Roman" w:cs="Times New Roman"/>
              </w:rPr>
              <w:t>,</w:t>
            </w:r>
            <w:r w:rsidRPr="00AF0120">
              <w:rPr>
                <w:rFonts w:ascii="Times New Roman" w:hAnsi="Times New Roman" w:cs="Times New Roman"/>
              </w:rPr>
              <w:t xml:space="preserve"> las entidades deberán:</w:t>
            </w:r>
          </w:p>
          <w:p w14:paraId="56F160F6" w14:textId="77777777" w:rsidR="00604479" w:rsidRPr="00AF0120" w:rsidRDefault="00604479" w:rsidP="00AF0120">
            <w:pPr>
              <w:pStyle w:val="Prrafodelista"/>
              <w:numPr>
                <w:ilvl w:val="0"/>
                <w:numId w:val="3"/>
              </w:numPr>
              <w:spacing w:line="240" w:lineRule="auto"/>
              <w:jc w:val="both"/>
              <w:rPr>
                <w:rFonts w:cs="Times New Roman"/>
                <w:sz w:val="22"/>
              </w:rPr>
            </w:pPr>
            <w:r w:rsidRPr="00AF0120">
              <w:rPr>
                <w:rFonts w:cs="Times New Roman"/>
                <w:sz w:val="22"/>
              </w:rPr>
              <w:t>Suspender la adquisición de los instrumentos que hayan perdido requisitos.</w:t>
            </w:r>
          </w:p>
          <w:p w14:paraId="0521AC57" w14:textId="77777777" w:rsidR="00604479" w:rsidRPr="00AF0120" w:rsidRDefault="00604479" w:rsidP="00AF0120">
            <w:pPr>
              <w:pStyle w:val="Prrafodelista"/>
              <w:numPr>
                <w:ilvl w:val="0"/>
                <w:numId w:val="3"/>
              </w:numPr>
              <w:spacing w:line="240" w:lineRule="auto"/>
              <w:jc w:val="both"/>
              <w:rPr>
                <w:rFonts w:cs="Times New Roman"/>
                <w:sz w:val="22"/>
              </w:rPr>
            </w:pPr>
            <w:r w:rsidRPr="00AF0120">
              <w:rPr>
                <w:rFonts w:cs="Times New Roman"/>
                <w:sz w:val="22"/>
              </w:rPr>
              <w:t>Informar la situación a las instancias indicadas en el artículo 4 de este Acuerdo.</w:t>
            </w:r>
          </w:p>
          <w:p w14:paraId="5957932B" w14:textId="1F8EBA0D" w:rsidR="00D87F6B" w:rsidRPr="00AF0120" w:rsidRDefault="00604479" w:rsidP="00AF0120">
            <w:pPr>
              <w:pStyle w:val="Prrafodelista"/>
              <w:numPr>
                <w:ilvl w:val="0"/>
                <w:numId w:val="3"/>
              </w:numPr>
              <w:spacing w:line="240" w:lineRule="auto"/>
              <w:jc w:val="both"/>
              <w:rPr>
                <w:rFonts w:cs="Times New Roman"/>
                <w:sz w:val="22"/>
              </w:rPr>
            </w:pPr>
            <w:r w:rsidRPr="00AF0120">
              <w:rPr>
                <w:rFonts w:cs="Times New Roman"/>
                <w:sz w:val="22"/>
              </w:rPr>
              <w:t xml:space="preserve">Informar a la Superintendencia de Pensiones al siguiente día hábil. </w:t>
            </w:r>
          </w:p>
        </w:tc>
        <w:tc>
          <w:tcPr>
            <w:tcW w:w="3533" w:type="dxa"/>
          </w:tcPr>
          <w:p w14:paraId="54A17CC3" w14:textId="77777777" w:rsidR="00A0622B" w:rsidRPr="005C2DAC" w:rsidRDefault="00A0622B" w:rsidP="00A0622B">
            <w:pPr>
              <w:pStyle w:val="Default"/>
              <w:jc w:val="both"/>
              <w:rPr>
                <w:rFonts w:ascii="Times New Roman" w:hAnsi="Times New Roman" w:cs="Times New Roman"/>
                <w:b/>
                <w:sz w:val="22"/>
                <w:szCs w:val="22"/>
              </w:rPr>
            </w:pPr>
            <w:r w:rsidRPr="005C2DAC">
              <w:rPr>
                <w:rFonts w:ascii="Times New Roman" w:hAnsi="Times New Roman" w:cs="Times New Roman"/>
                <w:b/>
                <w:sz w:val="22"/>
                <w:szCs w:val="22"/>
              </w:rPr>
              <w:t>Popular Pensiones Oficio PEN-0575-2019:</w:t>
            </w:r>
          </w:p>
          <w:p w14:paraId="0FB5BC94" w14:textId="4269BE70" w:rsidR="00D87F6B" w:rsidRPr="00AF0120" w:rsidRDefault="004756C6" w:rsidP="00AF0120">
            <w:pPr>
              <w:jc w:val="both"/>
              <w:rPr>
                <w:rFonts w:ascii="Times New Roman" w:hAnsi="Times New Roman" w:cs="Times New Roman"/>
              </w:rPr>
            </w:pPr>
            <w:r>
              <w:rPr>
                <w:rFonts w:ascii="Times New Roman" w:hAnsi="Times New Roman" w:cs="Times New Roman"/>
              </w:rPr>
              <w:t xml:space="preserve">En este caso se solicita la modificación al artículo, de forma que se especifique un plazo más amplio para la notificación </w:t>
            </w:r>
            <w:r w:rsidR="00E370E9">
              <w:rPr>
                <w:rFonts w:ascii="Times New Roman" w:hAnsi="Times New Roman" w:cs="Times New Roman"/>
              </w:rPr>
              <w:t>la pérdida de requisitos</w:t>
            </w:r>
            <w:r>
              <w:rPr>
                <w:rFonts w:ascii="Times New Roman" w:hAnsi="Times New Roman" w:cs="Times New Roman"/>
              </w:rPr>
              <w:t xml:space="preserve"> con el fin de que se cuente con al menos 3 días hábiles posteriores a la fecha del registro contable de la inversión que ocasionó el exceso.</w:t>
            </w:r>
          </w:p>
        </w:tc>
        <w:tc>
          <w:tcPr>
            <w:tcW w:w="3533" w:type="dxa"/>
          </w:tcPr>
          <w:p w14:paraId="1FEED7C2" w14:textId="77777777" w:rsidR="00D87F6B" w:rsidRDefault="000450A6" w:rsidP="00AF0120">
            <w:pPr>
              <w:rPr>
                <w:rFonts w:ascii="Times New Roman" w:hAnsi="Times New Roman" w:cs="Times New Roman"/>
                <w:b/>
              </w:rPr>
            </w:pPr>
            <w:r w:rsidRPr="000450A6">
              <w:rPr>
                <w:rFonts w:ascii="Times New Roman" w:hAnsi="Times New Roman" w:cs="Times New Roman"/>
                <w:b/>
              </w:rPr>
              <w:t xml:space="preserve">Respuesta </w:t>
            </w:r>
            <w:r w:rsidRPr="005C2DAC">
              <w:rPr>
                <w:rFonts w:ascii="Times New Roman" w:hAnsi="Times New Roman" w:cs="Times New Roman"/>
                <w:b/>
              </w:rPr>
              <w:t>Oficio PEN-0575-2019:</w:t>
            </w:r>
          </w:p>
          <w:p w14:paraId="046B1326" w14:textId="77777777" w:rsidR="000450A6" w:rsidRDefault="003F5DB6" w:rsidP="003F5DB6">
            <w:pPr>
              <w:rPr>
                <w:rFonts w:ascii="Times New Roman" w:hAnsi="Times New Roman" w:cs="Times New Roman"/>
                <w:i/>
              </w:rPr>
            </w:pPr>
            <w:r>
              <w:rPr>
                <w:rFonts w:ascii="Times New Roman" w:hAnsi="Times New Roman" w:cs="Times New Roman"/>
              </w:rPr>
              <w:t xml:space="preserve">El artículo </w:t>
            </w:r>
            <w:r w:rsidRPr="003F5DB6">
              <w:rPr>
                <w:rFonts w:ascii="Times New Roman" w:hAnsi="Times New Roman" w:cs="Times New Roman"/>
              </w:rPr>
              <w:t>9</w:t>
            </w:r>
            <w:r>
              <w:rPr>
                <w:rFonts w:ascii="Times New Roman" w:hAnsi="Times New Roman" w:cs="Times New Roman"/>
              </w:rPr>
              <w:t xml:space="preserve"> del Acuerdo actualmente vigente establece, en lo que interesa, que: </w:t>
            </w:r>
            <w:r w:rsidRPr="003F5DB6">
              <w:rPr>
                <w:rFonts w:ascii="Times New Roman" w:hAnsi="Times New Roman" w:cs="Times New Roman"/>
                <w:i/>
              </w:rPr>
              <w:t>“Cuando los valores que conformen los portafolios de los fondos administrados pierdan, posterior a su adquisición, alguno o varios de los requisitos para su admisión en esa cartera o generen el incumplimiento de algún límite de inversión, las entidades autorizadas deberán:</w:t>
            </w:r>
          </w:p>
          <w:p w14:paraId="2D4996FE" w14:textId="77777777" w:rsidR="003F5DB6" w:rsidRDefault="003F5DB6" w:rsidP="003F5DB6">
            <w:pPr>
              <w:rPr>
                <w:rFonts w:ascii="Times New Roman" w:hAnsi="Times New Roman" w:cs="Times New Roman"/>
              </w:rPr>
            </w:pPr>
            <w:r>
              <w:rPr>
                <w:rFonts w:ascii="Times New Roman" w:hAnsi="Times New Roman" w:cs="Times New Roman"/>
              </w:rPr>
              <w:t>(…)</w:t>
            </w:r>
          </w:p>
          <w:p w14:paraId="402BDF71" w14:textId="77777777" w:rsidR="003F5DB6" w:rsidRDefault="003F5DB6" w:rsidP="003F5DB6">
            <w:pPr>
              <w:rPr>
                <w:rFonts w:ascii="Times New Roman" w:hAnsi="Times New Roman" w:cs="Times New Roman"/>
                <w:i/>
              </w:rPr>
            </w:pPr>
            <w:r w:rsidRPr="003F5DB6">
              <w:rPr>
                <w:rFonts w:ascii="Times New Roman" w:hAnsi="Times New Roman" w:cs="Times New Roman"/>
                <w:i/>
              </w:rPr>
              <w:t xml:space="preserve">c) Informar a la Superintendencia de Pensiones, a más tardar el día hábil </w:t>
            </w:r>
            <w:r w:rsidRPr="00022263">
              <w:rPr>
                <w:rFonts w:ascii="Times New Roman" w:hAnsi="Times New Roman" w:cs="Times New Roman"/>
                <w:b/>
                <w:i/>
              </w:rPr>
              <w:t>siguiente a la comunicación del hecho relevante sobre la pérdida de requisitos</w:t>
            </w:r>
            <w:r w:rsidR="007D7694">
              <w:rPr>
                <w:rFonts w:ascii="Times New Roman" w:hAnsi="Times New Roman" w:cs="Times New Roman"/>
                <w:i/>
              </w:rPr>
              <w:t>…</w:t>
            </w:r>
            <w:r>
              <w:rPr>
                <w:rFonts w:ascii="Times New Roman" w:hAnsi="Times New Roman" w:cs="Times New Roman"/>
                <w:i/>
              </w:rPr>
              <w:t>”</w:t>
            </w:r>
          </w:p>
          <w:p w14:paraId="4A103914" w14:textId="1C99F858" w:rsidR="007D7694" w:rsidRPr="007D7694" w:rsidRDefault="007D7694" w:rsidP="003F5DB6">
            <w:pPr>
              <w:rPr>
                <w:rFonts w:ascii="Times New Roman" w:hAnsi="Times New Roman" w:cs="Times New Roman"/>
              </w:rPr>
            </w:pPr>
            <w:r w:rsidRPr="007D7694">
              <w:rPr>
                <w:rFonts w:ascii="Times New Roman" w:hAnsi="Times New Roman" w:cs="Times New Roman"/>
              </w:rPr>
              <w:lastRenderedPageBreak/>
              <w:t xml:space="preserve">Así las cosas, </w:t>
            </w:r>
            <w:r>
              <w:rPr>
                <w:rFonts w:ascii="Times New Roman" w:hAnsi="Times New Roman" w:cs="Times New Roman"/>
              </w:rPr>
              <w:t>el plazo que se consigna es idéntico al que establece la  regulación vigente desde el 11 de junio de 2004.</w:t>
            </w:r>
          </w:p>
        </w:tc>
        <w:tc>
          <w:tcPr>
            <w:tcW w:w="3533" w:type="dxa"/>
          </w:tcPr>
          <w:p w14:paraId="04DE9BBD" w14:textId="77777777" w:rsidR="00283D49" w:rsidRPr="00AF0120" w:rsidRDefault="00283D49" w:rsidP="00283D49">
            <w:pPr>
              <w:jc w:val="both"/>
              <w:rPr>
                <w:rFonts w:ascii="Times New Roman" w:hAnsi="Times New Roman" w:cs="Times New Roman"/>
                <w:b/>
              </w:rPr>
            </w:pPr>
            <w:r w:rsidRPr="00AF0120">
              <w:rPr>
                <w:rFonts w:ascii="Times New Roman" w:hAnsi="Times New Roman" w:cs="Times New Roman"/>
                <w:b/>
              </w:rPr>
              <w:lastRenderedPageBreak/>
              <w:t>Artículo 7. Pérdida de requisitos de los valores</w:t>
            </w:r>
          </w:p>
          <w:p w14:paraId="6B096325" w14:textId="77777777" w:rsidR="00283D49" w:rsidRPr="00AF0120" w:rsidRDefault="00283D49" w:rsidP="00283D49">
            <w:pPr>
              <w:jc w:val="both"/>
              <w:rPr>
                <w:rFonts w:ascii="Times New Roman" w:hAnsi="Times New Roman" w:cs="Times New Roman"/>
              </w:rPr>
            </w:pPr>
            <w:r w:rsidRPr="00AF0120">
              <w:rPr>
                <w:rFonts w:ascii="Times New Roman" w:hAnsi="Times New Roman" w:cs="Times New Roman"/>
              </w:rPr>
              <w:t>Cuando los valores que conformen los portafolios de los fondos administrados pierdan, con posterioridad a su adquisición, alguno o varios de los requisitos</w:t>
            </w:r>
            <w:r>
              <w:rPr>
                <w:rFonts w:ascii="Times New Roman" w:hAnsi="Times New Roman" w:cs="Times New Roman"/>
              </w:rPr>
              <w:t>,</w:t>
            </w:r>
            <w:r w:rsidRPr="00AF0120">
              <w:rPr>
                <w:rFonts w:ascii="Times New Roman" w:hAnsi="Times New Roman" w:cs="Times New Roman"/>
              </w:rPr>
              <w:t xml:space="preserve"> las entidades deberán:</w:t>
            </w:r>
          </w:p>
          <w:p w14:paraId="622D7933" w14:textId="77777777" w:rsidR="00283D49" w:rsidRPr="00AF0120" w:rsidRDefault="00283D49" w:rsidP="00283D49">
            <w:pPr>
              <w:pStyle w:val="Prrafodelista"/>
              <w:numPr>
                <w:ilvl w:val="0"/>
                <w:numId w:val="3"/>
              </w:numPr>
              <w:spacing w:line="240" w:lineRule="auto"/>
              <w:jc w:val="both"/>
              <w:rPr>
                <w:rFonts w:cs="Times New Roman"/>
                <w:sz w:val="22"/>
              </w:rPr>
            </w:pPr>
            <w:r w:rsidRPr="00AF0120">
              <w:rPr>
                <w:rFonts w:cs="Times New Roman"/>
                <w:sz w:val="22"/>
              </w:rPr>
              <w:t>Suspender la adquisición de los instrumentos que hayan perdido requisitos.</w:t>
            </w:r>
          </w:p>
          <w:p w14:paraId="6B6AA0C2" w14:textId="4D63024D" w:rsidR="00D87F6B" w:rsidRPr="00370387" w:rsidRDefault="00283D49" w:rsidP="00370387">
            <w:pPr>
              <w:pStyle w:val="Prrafodelista"/>
              <w:numPr>
                <w:ilvl w:val="0"/>
                <w:numId w:val="3"/>
              </w:numPr>
              <w:spacing w:line="240" w:lineRule="auto"/>
              <w:jc w:val="both"/>
              <w:rPr>
                <w:rFonts w:cs="Times New Roman"/>
                <w:sz w:val="22"/>
              </w:rPr>
            </w:pPr>
            <w:r w:rsidRPr="00AF0120">
              <w:rPr>
                <w:rFonts w:cs="Times New Roman"/>
                <w:sz w:val="22"/>
              </w:rPr>
              <w:t>Informar la situación a las instancias indicadas en el artículo 4 de este Acuerdo</w:t>
            </w:r>
            <w:r w:rsidR="00490344">
              <w:rPr>
                <w:rFonts w:cs="Times New Roman"/>
                <w:sz w:val="22"/>
              </w:rPr>
              <w:t>, así como a la</w:t>
            </w:r>
            <w:r w:rsidRPr="00370387">
              <w:rPr>
                <w:rFonts w:cs="Times New Roman"/>
              </w:rPr>
              <w:t xml:space="preserve"> Superintendencia de Pensiones</w:t>
            </w:r>
            <w:r w:rsidR="000A2AC0">
              <w:rPr>
                <w:rFonts w:cs="Times New Roman"/>
              </w:rPr>
              <w:t>,</w:t>
            </w:r>
            <w:r w:rsidRPr="00370387">
              <w:rPr>
                <w:rFonts w:cs="Times New Roman"/>
              </w:rPr>
              <w:t xml:space="preserve"> al siguiente día hábil.</w:t>
            </w:r>
          </w:p>
        </w:tc>
      </w:tr>
      <w:tr w:rsidR="00261E89" w:rsidRPr="00AF0120" w14:paraId="55D3E6FD" w14:textId="77777777" w:rsidTr="00AC27A1">
        <w:trPr>
          <w:trHeight w:val="250"/>
        </w:trPr>
        <w:tc>
          <w:tcPr>
            <w:tcW w:w="3533" w:type="dxa"/>
          </w:tcPr>
          <w:p w14:paraId="6862B09F" w14:textId="77777777" w:rsidR="00261E89" w:rsidRPr="00AF0120" w:rsidRDefault="00261E89" w:rsidP="00261E89">
            <w:pPr>
              <w:jc w:val="both"/>
              <w:rPr>
                <w:rFonts w:ascii="Times New Roman" w:hAnsi="Times New Roman" w:cs="Times New Roman"/>
                <w:b/>
              </w:rPr>
            </w:pPr>
            <w:r w:rsidRPr="00AF0120">
              <w:rPr>
                <w:rFonts w:ascii="Times New Roman" w:hAnsi="Times New Roman" w:cs="Times New Roman"/>
                <w:b/>
              </w:rPr>
              <w:t>Artículo 8. Pérdida de requisitos por cesación o suspensión de pagos</w:t>
            </w:r>
          </w:p>
          <w:p w14:paraId="0CD2B4A0" w14:textId="77777777" w:rsidR="00261E89" w:rsidRPr="00AF0120" w:rsidRDefault="00261E89" w:rsidP="00261E89">
            <w:pPr>
              <w:jc w:val="both"/>
              <w:rPr>
                <w:rFonts w:ascii="Times New Roman" w:hAnsi="Times New Roman" w:cs="Times New Roman"/>
              </w:rPr>
            </w:pPr>
            <w:r w:rsidRPr="00AF0120">
              <w:rPr>
                <w:rFonts w:ascii="Times New Roman" w:hAnsi="Times New Roman" w:cs="Times New Roman"/>
              </w:rPr>
              <w:t>En el evento de que alguno de los emisores de los valores que componen los fondos administrados entre en situación de cesación o suspensión de pagos, la entidad deberá informar a la Superintendencia en los términos referidos en el artículo 9 de este Acuerdo y realizar la estimación contable del principal e intereses por cobrar, según corresponda.</w:t>
            </w:r>
          </w:p>
          <w:p w14:paraId="270A0DED" w14:textId="302A6B68" w:rsidR="00261E89" w:rsidRPr="00AF0120" w:rsidRDefault="00261E89" w:rsidP="00261E89">
            <w:pPr>
              <w:jc w:val="both"/>
              <w:rPr>
                <w:rFonts w:ascii="Times New Roman" w:hAnsi="Times New Roman" w:cs="Times New Roman"/>
              </w:rPr>
            </w:pPr>
            <w:r w:rsidRPr="00AF0120">
              <w:rPr>
                <w:rFonts w:ascii="Times New Roman" w:hAnsi="Times New Roman" w:cs="Times New Roman"/>
              </w:rPr>
              <w:t xml:space="preserve">Las entidades autorizadas deberán informar de la situación a los afiliados, según prevé el artículo 43 de la Ley de Protección al Trabajador, a través de los correos electrónicos señalados por aquellos para recibir los estados de cuenta y, además, en los estados de cuenta, propiamente dichos, que inmediatamente después de acaecida esta circunstancia se remitan a todos los afiliados en general.  </w:t>
            </w:r>
          </w:p>
        </w:tc>
        <w:tc>
          <w:tcPr>
            <w:tcW w:w="3533" w:type="dxa"/>
          </w:tcPr>
          <w:p w14:paraId="737EB089" w14:textId="7293CE16" w:rsidR="00261E89" w:rsidRPr="00AF0120" w:rsidRDefault="00261E89" w:rsidP="00261E89">
            <w:pPr>
              <w:pStyle w:val="Default"/>
              <w:jc w:val="both"/>
              <w:rPr>
                <w:rFonts w:ascii="Times New Roman" w:hAnsi="Times New Roman" w:cs="Times New Roman"/>
                <w:sz w:val="22"/>
                <w:szCs w:val="22"/>
              </w:rPr>
            </w:pPr>
            <w:r w:rsidRPr="00AF0120">
              <w:rPr>
                <w:rFonts w:ascii="Times New Roman" w:hAnsi="Times New Roman" w:cs="Times New Roman"/>
                <w:b/>
                <w:bCs/>
                <w:sz w:val="22"/>
                <w:szCs w:val="22"/>
              </w:rPr>
              <w:t>ACOP-022-2019:</w:t>
            </w:r>
            <w:r w:rsidRPr="00AF0120">
              <w:rPr>
                <w:rFonts w:ascii="Times New Roman" w:hAnsi="Times New Roman" w:cs="Times New Roman"/>
                <w:sz w:val="22"/>
                <w:szCs w:val="22"/>
              </w:rPr>
              <w:t xml:space="preserve"> </w:t>
            </w:r>
          </w:p>
          <w:p w14:paraId="5E475BA6" w14:textId="77777777" w:rsidR="00261E89" w:rsidRPr="00AF0120" w:rsidRDefault="00261E89" w:rsidP="00261E89">
            <w:pPr>
              <w:pStyle w:val="Default"/>
              <w:jc w:val="both"/>
              <w:rPr>
                <w:rFonts w:ascii="Times New Roman" w:hAnsi="Times New Roman" w:cs="Times New Roman"/>
                <w:sz w:val="22"/>
                <w:szCs w:val="22"/>
              </w:rPr>
            </w:pPr>
            <w:r w:rsidRPr="00AF0120">
              <w:rPr>
                <w:rFonts w:ascii="Times New Roman" w:hAnsi="Times New Roman" w:cs="Times New Roman"/>
                <w:sz w:val="22"/>
                <w:szCs w:val="22"/>
              </w:rPr>
              <w:t xml:space="preserve">Consideramos que el artículo 8 debería aclarase en cuanto al significado de “cesación o suspensión de pagos”, concretamente debería aclararse sí, por cesación de pagos se entiende: no pago de intereses y principal o cualquiera de los dos. Dicha aclaración resulta relevante, en virtud de que algunas entidades como el Ministerio de Hacienda, se retrasa en el pago de intereses. Por ello, para mayor seguridad jurídica de las Operadoras de Pensiones, se requiere, la aclaración de los términos “cesación o suspensión de pagos”. </w:t>
            </w:r>
          </w:p>
          <w:p w14:paraId="748070A8" w14:textId="77777777" w:rsidR="00261E89" w:rsidRPr="00A365D9" w:rsidRDefault="00261E89" w:rsidP="00261E89">
            <w:pPr>
              <w:jc w:val="both"/>
              <w:rPr>
                <w:rFonts w:ascii="Times New Roman" w:hAnsi="Times New Roman" w:cs="Times New Roman"/>
                <w:b/>
                <w:lang w:val="es-CR"/>
              </w:rPr>
            </w:pPr>
            <w:r w:rsidRPr="00A365D9">
              <w:rPr>
                <w:rFonts w:ascii="Times New Roman" w:hAnsi="Times New Roman" w:cs="Times New Roman"/>
                <w:b/>
                <w:lang w:val="es-CR"/>
              </w:rPr>
              <w:t>BCROPC-142-19:</w:t>
            </w:r>
          </w:p>
          <w:p w14:paraId="47C4FC90" w14:textId="2ED13B9E" w:rsidR="00261E89" w:rsidRPr="00AF0120" w:rsidRDefault="00261E89" w:rsidP="00261E89">
            <w:pPr>
              <w:jc w:val="both"/>
              <w:rPr>
                <w:rFonts w:ascii="Times New Roman" w:hAnsi="Times New Roman" w:cs="Times New Roman"/>
                <w:lang w:val="es-CR"/>
              </w:rPr>
            </w:pPr>
            <w:r>
              <w:rPr>
                <w:rFonts w:ascii="Times New Roman" w:hAnsi="Times New Roman" w:cs="Times New Roman"/>
                <w:lang w:val="es-CR"/>
              </w:rPr>
              <w:t xml:space="preserve">Sobre el segundo párrafo se debe considerar que el artículo 43 de la Ley de Protección al Trabajador no se refiere específicamente a la comunicación por cesación o suspensión de pagos, si no que a criterio de la superintendencia sea necesario poner en conocimiento al afiliado o al público en general algún evento que consideren relevante. Por </w:t>
            </w:r>
            <w:r>
              <w:rPr>
                <w:rFonts w:ascii="Times New Roman" w:hAnsi="Times New Roman" w:cs="Times New Roman"/>
                <w:lang w:val="es-CR"/>
              </w:rPr>
              <w:lastRenderedPageBreak/>
              <w:t>lo tanto, de aplicarse como se indica en la propuesta de reforma del Acuerdo SPA-049, tendría riesgos sistémicos difíciles de palear en nuestro sistema financiero, situación que debería analizarse de previo con las otras superintendencias (SUGEVAL y SUGEF).</w:t>
            </w:r>
          </w:p>
        </w:tc>
        <w:tc>
          <w:tcPr>
            <w:tcW w:w="3533" w:type="dxa"/>
          </w:tcPr>
          <w:p w14:paraId="1CEE745D" w14:textId="090657BB" w:rsidR="00261E89" w:rsidRDefault="00261E89" w:rsidP="00261E89">
            <w:pPr>
              <w:jc w:val="both"/>
              <w:rPr>
                <w:rFonts w:ascii="Times New Roman" w:hAnsi="Times New Roman" w:cs="Times New Roman"/>
                <w:b/>
                <w:lang w:val="es-CR"/>
              </w:rPr>
            </w:pPr>
            <w:r>
              <w:rPr>
                <w:rFonts w:ascii="Times New Roman" w:hAnsi="Times New Roman" w:cs="Times New Roman"/>
                <w:b/>
                <w:lang w:val="es-CR"/>
              </w:rPr>
              <w:lastRenderedPageBreak/>
              <w:t xml:space="preserve">Respuesta ACOP-022-2019: </w:t>
            </w:r>
          </w:p>
          <w:p w14:paraId="38431675" w14:textId="7D2DB1AA" w:rsidR="00261E89" w:rsidRPr="00467A4A" w:rsidRDefault="00261E89" w:rsidP="00261E89">
            <w:pPr>
              <w:jc w:val="both"/>
              <w:rPr>
                <w:rFonts w:ascii="Times New Roman" w:hAnsi="Times New Roman" w:cs="Times New Roman"/>
                <w:lang w:val="es-CR"/>
              </w:rPr>
            </w:pPr>
            <w:r>
              <w:rPr>
                <w:rFonts w:ascii="Times New Roman" w:hAnsi="Times New Roman" w:cs="Times New Roman"/>
              </w:rPr>
              <w:t>C</w:t>
            </w:r>
            <w:r w:rsidRPr="00AF0120">
              <w:rPr>
                <w:rFonts w:ascii="Times New Roman" w:hAnsi="Times New Roman" w:cs="Times New Roman"/>
              </w:rPr>
              <w:t>esación o suspensión de pagos</w:t>
            </w:r>
            <w:r>
              <w:rPr>
                <w:rFonts w:ascii="Times New Roman" w:hAnsi="Times New Roman" w:cs="Times New Roman"/>
              </w:rPr>
              <w:t xml:space="preserve"> incluye tanto  el</w:t>
            </w:r>
            <w:r w:rsidRPr="00AF0120">
              <w:rPr>
                <w:rFonts w:ascii="Times New Roman" w:hAnsi="Times New Roman" w:cs="Times New Roman"/>
              </w:rPr>
              <w:t xml:space="preserve"> no pago de intereses</w:t>
            </w:r>
            <w:r>
              <w:rPr>
                <w:rFonts w:ascii="Times New Roman" w:hAnsi="Times New Roman" w:cs="Times New Roman"/>
              </w:rPr>
              <w:t xml:space="preserve"> como el principal, por lo que estimamos que no se  requiere de aclaración en este sentido.</w:t>
            </w:r>
          </w:p>
          <w:p w14:paraId="26F6C1FA" w14:textId="77777777" w:rsidR="00261E89" w:rsidRDefault="00261E89" w:rsidP="00261E89">
            <w:pPr>
              <w:jc w:val="both"/>
              <w:rPr>
                <w:rFonts w:ascii="Times New Roman" w:hAnsi="Times New Roman" w:cs="Times New Roman"/>
                <w:b/>
                <w:lang w:val="es-CR"/>
              </w:rPr>
            </w:pPr>
          </w:p>
          <w:p w14:paraId="338E2BD9" w14:textId="77777777" w:rsidR="00261E89" w:rsidRDefault="00261E89" w:rsidP="00261E89">
            <w:pPr>
              <w:jc w:val="both"/>
              <w:rPr>
                <w:rFonts w:ascii="Times New Roman" w:hAnsi="Times New Roman" w:cs="Times New Roman"/>
                <w:b/>
                <w:lang w:val="es-CR"/>
              </w:rPr>
            </w:pPr>
          </w:p>
          <w:p w14:paraId="3C0B801F" w14:textId="77777777" w:rsidR="00261E89" w:rsidRDefault="00261E89" w:rsidP="00261E89">
            <w:pPr>
              <w:jc w:val="both"/>
              <w:rPr>
                <w:rFonts w:ascii="Times New Roman" w:hAnsi="Times New Roman" w:cs="Times New Roman"/>
                <w:b/>
                <w:lang w:val="es-CR"/>
              </w:rPr>
            </w:pPr>
          </w:p>
          <w:p w14:paraId="2C90D153" w14:textId="77777777" w:rsidR="00261E89" w:rsidRDefault="00261E89" w:rsidP="00261E89">
            <w:pPr>
              <w:jc w:val="both"/>
              <w:rPr>
                <w:rFonts w:ascii="Times New Roman" w:hAnsi="Times New Roman" w:cs="Times New Roman"/>
                <w:b/>
                <w:lang w:val="es-CR"/>
              </w:rPr>
            </w:pPr>
          </w:p>
          <w:p w14:paraId="0967D4E6" w14:textId="77777777" w:rsidR="00261E89" w:rsidRDefault="00261E89" w:rsidP="00261E89">
            <w:pPr>
              <w:jc w:val="both"/>
              <w:rPr>
                <w:rFonts w:ascii="Times New Roman" w:hAnsi="Times New Roman" w:cs="Times New Roman"/>
                <w:b/>
                <w:lang w:val="es-CR"/>
              </w:rPr>
            </w:pPr>
          </w:p>
          <w:p w14:paraId="33DAFDB7" w14:textId="77777777" w:rsidR="00261E89" w:rsidRDefault="00261E89" w:rsidP="00261E89">
            <w:pPr>
              <w:jc w:val="both"/>
              <w:rPr>
                <w:rFonts w:ascii="Times New Roman" w:hAnsi="Times New Roman" w:cs="Times New Roman"/>
                <w:b/>
                <w:lang w:val="es-CR"/>
              </w:rPr>
            </w:pPr>
          </w:p>
          <w:p w14:paraId="1703CF0E" w14:textId="77777777" w:rsidR="00261E89" w:rsidRDefault="00261E89" w:rsidP="00261E89">
            <w:pPr>
              <w:jc w:val="both"/>
              <w:rPr>
                <w:rFonts w:ascii="Times New Roman" w:hAnsi="Times New Roman" w:cs="Times New Roman"/>
                <w:b/>
                <w:lang w:val="es-CR"/>
              </w:rPr>
            </w:pPr>
          </w:p>
          <w:p w14:paraId="74F704D8" w14:textId="77777777" w:rsidR="00261E89" w:rsidRDefault="00261E89" w:rsidP="00261E89">
            <w:pPr>
              <w:jc w:val="both"/>
              <w:rPr>
                <w:rFonts w:ascii="Times New Roman" w:hAnsi="Times New Roman" w:cs="Times New Roman"/>
                <w:b/>
                <w:lang w:val="es-CR"/>
              </w:rPr>
            </w:pPr>
          </w:p>
          <w:p w14:paraId="63E6BFF9" w14:textId="77777777" w:rsidR="00261E89" w:rsidRDefault="00261E89" w:rsidP="00261E89">
            <w:pPr>
              <w:jc w:val="both"/>
              <w:rPr>
                <w:rFonts w:ascii="Times New Roman" w:hAnsi="Times New Roman" w:cs="Times New Roman"/>
                <w:b/>
                <w:lang w:val="es-CR"/>
              </w:rPr>
            </w:pPr>
          </w:p>
          <w:p w14:paraId="3FC71437" w14:textId="77777777" w:rsidR="00261E89" w:rsidRDefault="00261E89" w:rsidP="00261E89">
            <w:pPr>
              <w:jc w:val="both"/>
              <w:rPr>
                <w:rFonts w:ascii="Times New Roman" w:hAnsi="Times New Roman" w:cs="Times New Roman"/>
                <w:b/>
                <w:lang w:val="es-CR"/>
              </w:rPr>
            </w:pPr>
          </w:p>
          <w:p w14:paraId="0AEB0921" w14:textId="77777777" w:rsidR="00261E89" w:rsidRDefault="00261E89" w:rsidP="00261E89">
            <w:pPr>
              <w:jc w:val="both"/>
              <w:rPr>
                <w:rFonts w:ascii="Times New Roman" w:hAnsi="Times New Roman" w:cs="Times New Roman"/>
                <w:b/>
                <w:lang w:val="es-CR"/>
              </w:rPr>
            </w:pPr>
          </w:p>
          <w:p w14:paraId="6098ED5B" w14:textId="77777777" w:rsidR="00261E89" w:rsidRDefault="00261E89" w:rsidP="00261E89">
            <w:pPr>
              <w:jc w:val="both"/>
              <w:rPr>
                <w:rFonts w:ascii="Times New Roman" w:hAnsi="Times New Roman" w:cs="Times New Roman"/>
                <w:b/>
                <w:lang w:val="es-CR"/>
              </w:rPr>
            </w:pPr>
          </w:p>
          <w:p w14:paraId="74E262FB" w14:textId="77777777" w:rsidR="00261E89" w:rsidRDefault="00261E89" w:rsidP="00261E89">
            <w:pPr>
              <w:jc w:val="both"/>
              <w:rPr>
                <w:rFonts w:ascii="Times New Roman" w:hAnsi="Times New Roman" w:cs="Times New Roman"/>
                <w:b/>
                <w:lang w:val="es-CR"/>
              </w:rPr>
            </w:pPr>
          </w:p>
          <w:p w14:paraId="218D5CA1" w14:textId="77777777" w:rsidR="00261E89" w:rsidRDefault="00261E89" w:rsidP="00261E89">
            <w:pPr>
              <w:jc w:val="both"/>
              <w:rPr>
                <w:rFonts w:ascii="Times New Roman" w:hAnsi="Times New Roman" w:cs="Times New Roman"/>
                <w:b/>
                <w:lang w:val="es-CR"/>
              </w:rPr>
            </w:pPr>
            <w:r>
              <w:rPr>
                <w:rFonts w:ascii="Times New Roman" w:hAnsi="Times New Roman" w:cs="Times New Roman"/>
                <w:b/>
                <w:lang w:val="es-CR"/>
              </w:rPr>
              <w:t xml:space="preserve">Respuesta </w:t>
            </w:r>
            <w:r w:rsidRPr="00A365D9">
              <w:rPr>
                <w:rFonts w:ascii="Times New Roman" w:hAnsi="Times New Roman" w:cs="Times New Roman"/>
                <w:b/>
                <w:lang w:val="es-CR"/>
              </w:rPr>
              <w:t>BCROPC-142-19:</w:t>
            </w:r>
          </w:p>
          <w:p w14:paraId="6B19F461" w14:textId="7A19353E" w:rsidR="00261E89" w:rsidRPr="00885417" w:rsidRDefault="00261E89" w:rsidP="00261E89">
            <w:pPr>
              <w:jc w:val="both"/>
              <w:rPr>
                <w:rFonts w:ascii="Times New Roman" w:hAnsi="Times New Roman" w:cs="Times New Roman"/>
                <w:lang w:val="es-CR"/>
              </w:rPr>
            </w:pPr>
            <w:r>
              <w:rPr>
                <w:rFonts w:ascii="Times New Roman" w:hAnsi="Times New Roman" w:cs="Times New Roman"/>
                <w:lang w:val="es-CR"/>
              </w:rPr>
              <w:t xml:space="preserve">El artículo 11 del Acuerdo actualmente vigente establece en su último párrafo: </w:t>
            </w:r>
            <w:r w:rsidRPr="003F5DB6">
              <w:rPr>
                <w:rFonts w:ascii="Times New Roman" w:hAnsi="Times New Roman" w:cs="Times New Roman"/>
                <w:i/>
                <w:lang w:val="es-CR"/>
              </w:rPr>
              <w:t xml:space="preserve">“La entidad autorizada deberá informar inmediatamente la situación como un hecho relevante a los afiliados por los medios que estime convenientes, todo </w:t>
            </w:r>
            <w:r w:rsidRPr="003F5DB6">
              <w:rPr>
                <w:rFonts w:ascii="Times New Roman" w:hAnsi="Times New Roman" w:cs="Times New Roman"/>
                <w:i/>
                <w:lang w:val="es-CR"/>
              </w:rPr>
              <w:lastRenderedPageBreak/>
              <w:t xml:space="preserve">con copia a la Superintendencia de Pensiones.” </w:t>
            </w:r>
            <w:r>
              <w:rPr>
                <w:rFonts w:ascii="Times New Roman" w:hAnsi="Times New Roman" w:cs="Times New Roman"/>
                <w:lang w:val="es-CR"/>
              </w:rPr>
              <w:t xml:space="preserve">Así las cosas, el deber de informar no es nuevo y, además, constituye un derecho de los afiliados, por lo que no resulta procedente lo solicitado. </w:t>
            </w:r>
          </w:p>
        </w:tc>
        <w:tc>
          <w:tcPr>
            <w:tcW w:w="3533" w:type="dxa"/>
          </w:tcPr>
          <w:p w14:paraId="47696413" w14:textId="77777777" w:rsidR="00261E89" w:rsidRPr="00AF0120" w:rsidRDefault="00261E89" w:rsidP="00261E89">
            <w:pPr>
              <w:jc w:val="both"/>
              <w:rPr>
                <w:rFonts w:ascii="Times New Roman" w:hAnsi="Times New Roman" w:cs="Times New Roman"/>
                <w:b/>
              </w:rPr>
            </w:pPr>
            <w:r w:rsidRPr="00AF0120">
              <w:rPr>
                <w:rFonts w:ascii="Times New Roman" w:hAnsi="Times New Roman" w:cs="Times New Roman"/>
                <w:b/>
              </w:rPr>
              <w:lastRenderedPageBreak/>
              <w:t>Artículo 8. Pérdida de requisitos por cesación o suspensión de pagos</w:t>
            </w:r>
          </w:p>
          <w:p w14:paraId="31310E29" w14:textId="21869506" w:rsidR="00261E89" w:rsidRPr="00AF0120" w:rsidRDefault="00261E89" w:rsidP="00261E89">
            <w:pPr>
              <w:jc w:val="both"/>
              <w:rPr>
                <w:rFonts w:ascii="Times New Roman" w:hAnsi="Times New Roman" w:cs="Times New Roman"/>
              </w:rPr>
            </w:pPr>
            <w:r w:rsidRPr="00AF0120">
              <w:rPr>
                <w:rFonts w:ascii="Times New Roman" w:hAnsi="Times New Roman" w:cs="Times New Roman"/>
              </w:rPr>
              <w:t>En el evento de que alguno de los emisores de los valores que componen los fondos administrados entre en situación de cesación o suspensión de pagos, la entidad deberá informar a la Superintendencia en los términos referidos en el artículo 9 de este Acuerdo</w:t>
            </w:r>
            <w:r w:rsidR="00720F0F">
              <w:rPr>
                <w:rFonts w:ascii="Times New Roman" w:hAnsi="Times New Roman" w:cs="Times New Roman"/>
              </w:rPr>
              <w:t>, así como</w:t>
            </w:r>
            <w:r w:rsidRPr="00AF0120">
              <w:rPr>
                <w:rFonts w:ascii="Times New Roman" w:hAnsi="Times New Roman" w:cs="Times New Roman"/>
              </w:rPr>
              <w:t xml:space="preserve"> realizar la estimación contable del principal e intereses por cobrar, según corresponda.</w:t>
            </w:r>
          </w:p>
          <w:p w14:paraId="5DC125CC" w14:textId="22169597" w:rsidR="00261E89" w:rsidRPr="00AF0120" w:rsidRDefault="00D32A7A" w:rsidP="00D32A7A">
            <w:pPr>
              <w:jc w:val="both"/>
              <w:rPr>
                <w:rFonts w:ascii="Times New Roman" w:hAnsi="Times New Roman" w:cs="Times New Roman"/>
              </w:rPr>
            </w:pPr>
            <w:r w:rsidRPr="00D32A7A">
              <w:rPr>
                <w:rFonts w:ascii="Times New Roman" w:hAnsi="Times New Roman" w:cs="Times New Roman"/>
              </w:rPr>
              <w:t xml:space="preserve">Las entidades </w:t>
            </w:r>
            <w:r>
              <w:rPr>
                <w:rFonts w:ascii="Times New Roman" w:hAnsi="Times New Roman" w:cs="Times New Roman"/>
              </w:rPr>
              <w:t xml:space="preserve">autorizadas </w:t>
            </w:r>
            <w:r w:rsidRPr="00D32A7A">
              <w:rPr>
                <w:rFonts w:ascii="Times New Roman" w:hAnsi="Times New Roman" w:cs="Times New Roman"/>
              </w:rPr>
              <w:t xml:space="preserve">deberán informar de la situación a los afiliados, según prevé el artículo 43 de la Ley de Protección al Trabajador, a través de los correos electrónicos señalados por aquellos para recibir los estados de cuenta y, además, en los estados de cuenta que inmediatamente después de acaecido el hecho, se remitan a todos los afiliados de la entidad en general.  </w:t>
            </w:r>
          </w:p>
        </w:tc>
      </w:tr>
      <w:tr w:rsidR="004669D0" w:rsidRPr="00AF0120" w14:paraId="2E78BB2D" w14:textId="77777777" w:rsidTr="00AC27A1">
        <w:trPr>
          <w:trHeight w:val="250"/>
        </w:trPr>
        <w:tc>
          <w:tcPr>
            <w:tcW w:w="3533" w:type="dxa"/>
          </w:tcPr>
          <w:p w14:paraId="0B3AA19B" w14:textId="77777777" w:rsidR="004669D0" w:rsidRPr="00AF0120" w:rsidRDefault="004669D0" w:rsidP="004669D0">
            <w:pPr>
              <w:jc w:val="both"/>
              <w:rPr>
                <w:rFonts w:ascii="Times New Roman" w:hAnsi="Times New Roman" w:cs="Times New Roman"/>
                <w:b/>
              </w:rPr>
            </w:pPr>
            <w:r w:rsidRPr="00AF0120">
              <w:rPr>
                <w:rFonts w:ascii="Times New Roman" w:hAnsi="Times New Roman" w:cs="Times New Roman"/>
                <w:b/>
              </w:rPr>
              <w:t>Artículo 9.  Pérdida de requisitos en la contratación de proveedores</w:t>
            </w:r>
          </w:p>
          <w:p w14:paraId="054B72B2" w14:textId="5F986E10" w:rsidR="004669D0" w:rsidRDefault="004669D0" w:rsidP="004669D0">
            <w:pPr>
              <w:jc w:val="both"/>
              <w:rPr>
                <w:rFonts w:ascii="Times New Roman" w:hAnsi="Times New Roman" w:cs="Times New Roman"/>
              </w:rPr>
            </w:pPr>
            <w:r w:rsidRPr="00AF0120">
              <w:rPr>
                <w:rFonts w:ascii="Times New Roman" w:hAnsi="Times New Roman" w:cs="Times New Roman"/>
              </w:rPr>
              <w:t>Cualquier incumplimiento de los aspectos mínimos requeridos a los proveedores de servicios deberá ser comunicado a la Superintendencia dentro del plazo y las condiciones establecidas en el Reglamento de Gestión de Activos.</w:t>
            </w:r>
          </w:p>
          <w:p w14:paraId="75C33C2B" w14:textId="77777777" w:rsidR="004669D0" w:rsidRPr="00AF0120" w:rsidRDefault="004669D0" w:rsidP="004669D0">
            <w:pPr>
              <w:jc w:val="both"/>
              <w:rPr>
                <w:rFonts w:ascii="Times New Roman" w:hAnsi="Times New Roman" w:cs="Times New Roman"/>
              </w:rPr>
            </w:pPr>
          </w:p>
          <w:p w14:paraId="39F55987" w14:textId="77777777" w:rsidR="004669D0" w:rsidRPr="00AF0120" w:rsidRDefault="004669D0" w:rsidP="004669D0">
            <w:pPr>
              <w:jc w:val="both"/>
              <w:rPr>
                <w:rFonts w:ascii="Times New Roman" w:hAnsi="Times New Roman" w:cs="Times New Roman"/>
              </w:rPr>
            </w:pPr>
            <w:r w:rsidRPr="00AF0120">
              <w:rPr>
                <w:rFonts w:ascii="Times New Roman" w:hAnsi="Times New Roman" w:cs="Times New Roman"/>
              </w:rPr>
              <w:t>El Comité de Inversiones deberá presentar para conocimiento y aprobación del Órgano de Dirección, como mínimo, lo siguiente:</w:t>
            </w:r>
          </w:p>
          <w:p w14:paraId="68666D16" w14:textId="77777777" w:rsidR="004669D0" w:rsidRPr="00AF0120" w:rsidRDefault="004669D0" w:rsidP="004669D0">
            <w:pPr>
              <w:pStyle w:val="Prrafodelista"/>
              <w:numPr>
                <w:ilvl w:val="0"/>
                <w:numId w:val="4"/>
              </w:numPr>
              <w:spacing w:line="240" w:lineRule="auto"/>
              <w:jc w:val="both"/>
              <w:rPr>
                <w:rFonts w:cs="Times New Roman"/>
                <w:sz w:val="22"/>
              </w:rPr>
            </w:pPr>
            <w:r w:rsidRPr="00AF0120">
              <w:rPr>
                <w:rFonts w:cs="Times New Roman"/>
                <w:sz w:val="22"/>
              </w:rPr>
              <w:t>Análisis de la situación que originó la pérdida de requisitos.</w:t>
            </w:r>
          </w:p>
          <w:p w14:paraId="3C73C5E0" w14:textId="77777777" w:rsidR="004669D0" w:rsidRPr="00AF0120" w:rsidRDefault="004669D0" w:rsidP="004669D0">
            <w:pPr>
              <w:pStyle w:val="Prrafodelista"/>
              <w:numPr>
                <w:ilvl w:val="0"/>
                <w:numId w:val="4"/>
              </w:numPr>
              <w:spacing w:line="240" w:lineRule="auto"/>
              <w:jc w:val="both"/>
              <w:rPr>
                <w:rFonts w:cs="Times New Roman"/>
                <w:sz w:val="22"/>
              </w:rPr>
            </w:pPr>
            <w:r w:rsidRPr="00AF0120">
              <w:rPr>
                <w:rFonts w:cs="Times New Roman"/>
                <w:sz w:val="22"/>
              </w:rPr>
              <w:t xml:space="preserve">Su criterio en relación con la conveniencia o no de suspender el servicio, considerando los riesgos a los cuales se exponen los fondos </w:t>
            </w:r>
            <w:r w:rsidRPr="00AF0120">
              <w:rPr>
                <w:rFonts w:cs="Times New Roman"/>
                <w:sz w:val="22"/>
              </w:rPr>
              <w:lastRenderedPageBreak/>
              <w:t>con ocasión de la situación presentada.</w:t>
            </w:r>
          </w:p>
          <w:p w14:paraId="407AF6E5" w14:textId="77777777" w:rsidR="004669D0" w:rsidRPr="00AF0120" w:rsidRDefault="004669D0" w:rsidP="004669D0">
            <w:pPr>
              <w:pStyle w:val="Prrafodelista"/>
              <w:numPr>
                <w:ilvl w:val="0"/>
                <w:numId w:val="4"/>
              </w:numPr>
              <w:spacing w:line="240" w:lineRule="auto"/>
              <w:jc w:val="both"/>
              <w:rPr>
                <w:rFonts w:cs="Times New Roman"/>
                <w:sz w:val="22"/>
              </w:rPr>
            </w:pPr>
            <w:r w:rsidRPr="00AF0120">
              <w:rPr>
                <w:rFonts w:cs="Times New Roman"/>
                <w:sz w:val="22"/>
              </w:rPr>
              <w:t>Impacto en la cartera.</w:t>
            </w:r>
          </w:p>
          <w:p w14:paraId="485E84D6" w14:textId="77777777" w:rsidR="004669D0" w:rsidRPr="00AF0120" w:rsidRDefault="004669D0" w:rsidP="004669D0">
            <w:pPr>
              <w:pStyle w:val="Prrafodelista"/>
              <w:numPr>
                <w:ilvl w:val="0"/>
                <w:numId w:val="4"/>
              </w:numPr>
              <w:spacing w:line="240" w:lineRule="auto"/>
              <w:jc w:val="both"/>
              <w:rPr>
                <w:rFonts w:cs="Times New Roman"/>
                <w:sz w:val="22"/>
              </w:rPr>
            </w:pPr>
            <w:r w:rsidRPr="00AF0120">
              <w:rPr>
                <w:rFonts w:cs="Times New Roman"/>
                <w:sz w:val="22"/>
              </w:rPr>
              <w:t>El plan de acción aprobado, para que sea remitido a la Superintendencia de Pensiones.</w:t>
            </w:r>
          </w:p>
          <w:p w14:paraId="6D1AD0D1" w14:textId="77777777" w:rsidR="004669D0" w:rsidRPr="00AF0120" w:rsidRDefault="004669D0" w:rsidP="004669D0">
            <w:pPr>
              <w:jc w:val="both"/>
              <w:rPr>
                <w:rFonts w:ascii="Times New Roman" w:hAnsi="Times New Roman" w:cs="Times New Roman"/>
              </w:rPr>
            </w:pPr>
          </w:p>
          <w:p w14:paraId="3D51569F" w14:textId="44F9B0AF" w:rsidR="004669D0" w:rsidRPr="00AF0120" w:rsidRDefault="004669D0" w:rsidP="004669D0">
            <w:pPr>
              <w:jc w:val="both"/>
              <w:rPr>
                <w:rFonts w:ascii="Times New Roman" w:hAnsi="Times New Roman" w:cs="Times New Roman"/>
              </w:rPr>
            </w:pPr>
            <w:r w:rsidRPr="00AF0120">
              <w:rPr>
                <w:rFonts w:ascii="Times New Roman" w:hAnsi="Times New Roman" w:cs="Times New Roman"/>
              </w:rPr>
              <w:t>Lo anterior deberá quedar debidamente consignado en el acta del Comité de Inversiones correspondiente.</w:t>
            </w:r>
          </w:p>
        </w:tc>
        <w:tc>
          <w:tcPr>
            <w:tcW w:w="3533" w:type="dxa"/>
          </w:tcPr>
          <w:p w14:paraId="0DDBF408" w14:textId="77777777" w:rsidR="004669D0" w:rsidRPr="00AF0120" w:rsidRDefault="004669D0" w:rsidP="004669D0">
            <w:pPr>
              <w:pStyle w:val="Default"/>
              <w:jc w:val="both"/>
              <w:rPr>
                <w:rFonts w:ascii="Times New Roman" w:hAnsi="Times New Roman" w:cs="Times New Roman"/>
                <w:sz w:val="22"/>
                <w:szCs w:val="22"/>
              </w:rPr>
            </w:pPr>
            <w:r w:rsidRPr="00AF0120">
              <w:rPr>
                <w:rFonts w:ascii="Times New Roman" w:hAnsi="Times New Roman" w:cs="Times New Roman"/>
                <w:b/>
                <w:bCs/>
                <w:sz w:val="22"/>
                <w:szCs w:val="22"/>
              </w:rPr>
              <w:lastRenderedPageBreak/>
              <w:t xml:space="preserve">ACOP-022-2019: </w:t>
            </w:r>
          </w:p>
          <w:p w14:paraId="70B0863A" w14:textId="77777777" w:rsidR="004669D0" w:rsidRDefault="004669D0" w:rsidP="004669D0">
            <w:pPr>
              <w:pStyle w:val="Default"/>
              <w:jc w:val="both"/>
              <w:rPr>
                <w:rFonts w:ascii="Times New Roman" w:hAnsi="Times New Roman" w:cs="Times New Roman"/>
                <w:sz w:val="22"/>
                <w:szCs w:val="22"/>
              </w:rPr>
            </w:pPr>
            <w:r w:rsidRPr="00AF0120">
              <w:rPr>
                <w:rFonts w:ascii="Times New Roman" w:hAnsi="Times New Roman" w:cs="Times New Roman"/>
                <w:sz w:val="22"/>
                <w:szCs w:val="22"/>
              </w:rPr>
              <w:t xml:space="preserve">Proponemos que se revise la redacción de ese artículo con la finalidad de que se aclarare el alcance de la palabra “proveedores”. En concreto se indica en la norma de comentario: </w:t>
            </w:r>
            <w:r w:rsidRPr="00AF0120">
              <w:rPr>
                <w:rFonts w:ascii="Times New Roman" w:hAnsi="Times New Roman" w:cs="Times New Roman"/>
                <w:i/>
                <w:iCs/>
                <w:sz w:val="22"/>
                <w:szCs w:val="22"/>
              </w:rPr>
              <w:t xml:space="preserve">“Cualquier incumplimiento de los aspectos mínimos requeridos a los proveedores de servicios deberá ser comunicado a la Superintendencia dentro del plazo y las condiciones establecidas en el Reglamento de Gestión de Activos.” </w:t>
            </w:r>
            <w:r w:rsidRPr="00AF0120">
              <w:rPr>
                <w:rFonts w:ascii="Times New Roman" w:hAnsi="Times New Roman" w:cs="Times New Roman"/>
                <w:sz w:val="22"/>
                <w:szCs w:val="22"/>
              </w:rPr>
              <w:t xml:space="preserve">Sobre este punto es necesario aclarar que se refiere a los proveedores relacionados con el proceso de inversiones o gestión de activos, tales como proveedor de precios, custodio, entre otros, pues la redacción propuesta es muy general y podría entenderse que esa norma afecta a cualquier proveedor que tenga la Operadora, por ejemplo, un </w:t>
            </w:r>
            <w:r w:rsidRPr="00AF0120">
              <w:rPr>
                <w:rFonts w:ascii="Times New Roman" w:hAnsi="Times New Roman" w:cs="Times New Roman"/>
                <w:sz w:val="22"/>
                <w:szCs w:val="22"/>
              </w:rPr>
              <w:lastRenderedPageBreak/>
              <w:t xml:space="preserve">incumplimiento del proveedor de servicios de limpieza, de suministros, etc. </w:t>
            </w:r>
          </w:p>
          <w:p w14:paraId="3F1A5EAC" w14:textId="77777777" w:rsidR="004669D0" w:rsidRPr="00A365D9" w:rsidRDefault="004669D0" w:rsidP="004669D0">
            <w:pPr>
              <w:jc w:val="both"/>
              <w:rPr>
                <w:rFonts w:ascii="Times New Roman" w:hAnsi="Times New Roman" w:cs="Times New Roman"/>
                <w:b/>
                <w:lang w:val="es-CR"/>
              </w:rPr>
            </w:pPr>
            <w:r w:rsidRPr="00A365D9">
              <w:rPr>
                <w:rFonts w:ascii="Times New Roman" w:hAnsi="Times New Roman" w:cs="Times New Roman"/>
                <w:b/>
                <w:lang w:val="es-CR"/>
              </w:rPr>
              <w:t>BCROPC-142-19:</w:t>
            </w:r>
          </w:p>
          <w:p w14:paraId="7474DC03" w14:textId="321306FA" w:rsidR="004669D0" w:rsidRPr="00AF0120" w:rsidRDefault="004669D0" w:rsidP="004669D0">
            <w:pPr>
              <w:pStyle w:val="Default"/>
              <w:jc w:val="both"/>
              <w:rPr>
                <w:rFonts w:ascii="Times New Roman" w:hAnsi="Times New Roman" w:cs="Times New Roman"/>
                <w:sz w:val="22"/>
                <w:szCs w:val="22"/>
              </w:rPr>
            </w:pPr>
            <w:r>
              <w:rPr>
                <w:rFonts w:ascii="Times New Roman" w:hAnsi="Times New Roman" w:cs="Times New Roman"/>
                <w:sz w:val="22"/>
                <w:szCs w:val="22"/>
              </w:rPr>
              <w:t>Sobre el inciso iii. del párrafo 2, Es importante indicar el enfoque que quiere dirigirse la superintendencia con el “impacto de la cartera” ya que queda abierto a la subjetividad y podrían existir argumentaciones que no tienen relación.</w:t>
            </w:r>
          </w:p>
        </w:tc>
        <w:tc>
          <w:tcPr>
            <w:tcW w:w="3533" w:type="dxa"/>
          </w:tcPr>
          <w:p w14:paraId="75C37DC7" w14:textId="67BD3353" w:rsidR="004669D0" w:rsidRDefault="004669D0" w:rsidP="004669D0">
            <w:pPr>
              <w:jc w:val="both"/>
              <w:rPr>
                <w:rFonts w:ascii="Times New Roman" w:hAnsi="Times New Roman" w:cs="Times New Roman"/>
                <w:b/>
                <w:lang w:val="es-CR"/>
              </w:rPr>
            </w:pPr>
            <w:r>
              <w:rPr>
                <w:rFonts w:ascii="Times New Roman" w:hAnsi="Times New Roman" w:cs="Times New Roman"/>
                <w:b/>
                <w:lang w:val="es-CR"/>
              </w:rPr>
              <w:lastRenderedPageBreak/>
              <w:t xml:space="preserve">Respuesta ACOP-022-2019: </w:t>
            </w:r>
          </w:p>
          <w:p w14:paraId="4C2A9AD2" w14:textId="55C3CF86" w:rsidR="004669D0" w:rsidRDefault="004669D0" w:rsidP="004669D0">
            <w:pPr>
              <w:jc w:val="both"/>
              <w:rPr>
                <w:rFonts w:ascii="Times New Roman" w:hAnsi="Times New Roman" w:cs="Times New Roman"/>
                <w:lang w:val="es-CR"/>
              </w:rPr>
            </w:pPr>
            <w:r>
              <w:rPr>
                <w:rFonts w:ascii="Times New Roman" w:hAnsi="Times New Roman" w:cs="Times New Roman"/>
                <w:lang w:val="es-CR"/>
              </w:rPr>
              <w:t>Se aclara.</w:t>
            </w:r>
          </w:p>
          <w:p w14:paraId="337CCEAE" w14:textId="5611C73F" w:rsidR="004669D0" w:rsidRDefault="004669D0" w:rsidP="004669D0">
            <w:pPr>
              <w:jc w:val="both"/>
              <w:rPr>
                <w:rFonts w:ascii="Times New Roman" w:hAnsi="Times New Roman" w:cs="Times New Roman"/>
                <w:lang w:val="es-CR"/>
              </w:rPr>
            </w:pPr>
          </w:p>
          <w:p w14:paraId="03159428" w14:textId="6DE174F5" w:rsidR="004669D0" w:rsidRDefault="004669D0" w:rsidP="004669D0">
            <w:pPr>
              <w:jc w:val="both"/>
              <w:rPr>
                <w:rFonts w:ascii="Times New Roman" w:hAnsi="Times New Roman" w:cs="Times New Roman"/>
                <w:lang w:val="es-CR"/>
              </w:rPr>
            </w:pPr>
          </w:p>
          <w:p w14:paraId="7D50BE35" w14:textId="1D9DFB0E" w:rsidR="004669D0" w:rsidRDefault="004669D0" w:rsidP="004669D0">
            <w:pPr>
              <w:jc w:val="both"/>
              <w:rPr>
                <w:rFonts w:ascii="Times New Roman" w:hAnsi="Times New Roman" w:cs="Times New Roman"/>
                <w:lang w:val="es-CR"/>
              </w:rPr>
            </w:pPr>
          </w:p>
          <w:p w14:paraId="50B50F0B" w14:textId="4D0EF35C" w:rsidR="004669D0" w:rsidRDefault="004669D0" w:rsidP="004669D0">
            <w:pPr>
              <w:jc w:val="both"/>
              <w:rPr>
                <w:rFonts w:ascii="Times New Roman" w:hAnsi="Times New Roman" w:cs="Times New Roman"/>
                <w:lang w:val="es-CR"/>
              </w:rPr>
            </w:pPr>
          </w:p>
          <w:p w14:paraId="519AEC82" w14:textId="3F701A22" w:rsidR="004669D0" w:rsidRDefault="004669D0" w:rsidP="004669D0">
            <w:pPr>
              <w:jc w:val="both"/>
              <w:rPr>
                <w:rFonts w:ascii="Times New Roman" w:hAnsi="Times New Roman" w:cs="Times New Roman"/>
                <w:lang w:val="es-CR"/>
              </w:rPr>
            </w:pPr>
          </w:p>
          <w:p w14:paraId="4AA75B33" w14:textId="11628CFF" w:rsidR="004669D0" w:rsidRDefault="004669D0" w:rsidP="004669D0">
            <w:pPr>
              <w:jc w:val="both"/>
              <w:rPr>
                <w:rFonts w:ascii="Times New Roman" w:hAnsi="Times New Roman" w:cs="Times New Roman"/>
                <w:lang w:val="es-CR"/>
              </w:rPr>
            </w:pPr>
          </w:p>
          <w:p w14:paraId="0CC7C178" w14:textId="6655E039" w:rsidR="004669D0" w:rsidRDefault="004669D0" w:rsidP="004669D0">
            <w:pPr>
              <w:jc w:val="both"/>
              <w:rPr>
                <w:rFonts w:ascii="Times New Roman" w:hAnsi="Times New Roman" w:cs="Times New Roman"/>
                <w:lang w:val="es-CR"/>
              </w:rPr>
            </w:pPr>
          </w:p>
          <w:p w14:paraId="0787DD6D" w14:textId="02465599" w:rsidR="004669D0" w:rsidRDefault="004669D0" w:rsidP="004669D0">
            <w:pPr>
              <w:jc w:val="both"/>
              <w:rPr>
                <w:rFonts w:ascii="Times New Roman" w:hAnsi="Times New Roman" w:cs="Times New Roman"/>
                <w:lang w:val="es-CR"/>
              </w:rPr>
            </w:pPr>
          </w:p>
          <w:p w14:paraId="5F4E8E7F" w14:textId="63BD75A7" w:rsidR="004669D0" w:rsidRDefault="004669D0" w:rsidP="004669D0">
            <w:pPr>
              <w:jc w:val="both"/>
              <w:rPr>
                <w:rFonts w:ascii="Times New Roman" w:hAnsi="Times New Roman" w:cs="Times New Roman"/>
                <w:lang w:val="es-CR"/>
              </w:rPr>
            </w:pPr>
          </w:p>
          <w:p w14:paraId="76577E80" w14:textId="159CF7DA" w:rsidR="004669D0" w:rsidRDefault="004669D0" w:rsidP="004669D0">
            <w:pPr>
              <w:jc w:val="both"/>
              <w:rPr>
                <w:rFonts w:ascii="Times New Roman" w:hAnsi="Times New Roman" w:cs="Times New Roman"/>
                <w:lang w:val="es-CR"/>
              </w:rPr>
            </w:pPr>
          </w:p>
          <w:p w14:paraId="41DD29B5" w14:textId="5C95D17B" w:rsidR="004669D0" w:rsidRDefault="004669D0" w:rsidP="004669D0">
            <w:pPr>
              <w:jc w:val="both"/>
              <w:rPr>
                <w:rFonts w:ascii="Times New Roman" w:hAnsi="Times New Roman" w:cs="Times New Roman"/>
                <w:lang w:val="es-CR"/>
              </w:rPr>
            </w:pPr>
          </w:p>
          <w:p w14:paraId="7A923585" w14:textId="561C275A" w:rsidR="004669D0" w:rsidRDefault="004669D0" w:rsidP="004669D0">
            <w:pPr>
              <w:jc w:val="both"/>
              <w:rPr>
                <w:rFonts w:ascii="Times New Roman" w:hAnsi="Times New Roman" w:cs="Times New Roman"/>
                <w:lang w:val="es-CR"/>
              </w:rPr>
            </w:pPr>
          </w:p>
          <w:p w14:paraId="111E813D" w14:textId="5A50B6F5" w:rsidR="004669D0" w:rsidRDefault="004669D0" w:rsidP="004669D0">
            <w:pPr>
              <w:jc w:val="both"/>
              <w:rPr>
                <w:rFonts w:ascii="Times New Roman" w:hAnsi="Times New Roman" w:cs="Times New Roman"/>
                <w:lang w:val="es-CR"/>
              </w:rPr>
            </w:pPr>
          </w:p>
          <w:p w14:paraId="6587BEE0" w14:textId="23B28A78" w:rsidR="004669D0" w:rsidRDefault="004669D0" w:rsidP="004669D0">
            <w:pPr>
              <w:jc w:val="both"/>
              <w:rPr>
                <w:rFonts w:ascii="Times New Roman" w:hAnsi="Times New Roman" w:cs="Times New Roman"/>
                <w:lang w:val="es-CR"/>
              </w:rPr>
            </w:pPr>
          </w:p>
          <w:p w14:paraId="1376D113" w14:textId="503F7136" w:rsidR="004669D0" w:rsidRDefault="004669D0" w:rsidP="004669D0">
            <w:pPr>
              <w:jc w:val="both"/>
              <w:rPr>
                <w:rFonts w:ascii="Times New Roman" w:hAnsi="Times New Roman" w:cs="Times New Roman"/>
                <w:lang w:val="es-CR"/>
              </w:rPr>
            </w:pPr>
          </w:p>
          <w:p w14:paraId="2CE6FE02" w14:textId="34AB60F4" w:rsidR="004669D0" w:rsidRDefault="004669D0" w:rsidP="004669D0">
            <w:pPr>
              <w:jc w:val="both"/>
              <w:rPr>
                <w:rFonts w:ascii="Times New Roman" w:hAnsi="Times New Roman" w:cs="Times New Roman"/>
                <w:lang w:val="es-CR"/>
              </w:rPr>
            </w:pPr>
          </w:p>
          <w:p w14:paraId="2DB33C65" w14:textId="5020BAAB" w:rsidR="004669D0" w:rsidRDefault="004669D0" w:rsidP="004669D0">
            <w:pPr>
              <w:jc w:val="both"/>
              <w:rPr>
                <w:rFonts w:ascii="Times New Roman" w:hAnsi="Times New Roman" w:cs="Times New Roman"/>
                <w:lang w:val="es-CR"/>
              </w:rPr>
            </w:pPr>
          </w:p>
          <w:p w14:paraId="12A61302" w14:textId="0833E1E3" w:rsidR="004669D0" w:rsidRDefault="004669D0" w:rsidP="004669D0">
            <w:pPr>
              <w:jc w:val="both"/>
              <w:rPr>
                <w:rFonts w:ascii="Times New Roman" w:hAnsi="Times New Roman" w:cs="Times New Roman"/>
                <w:lang w:val="es-CR"/>
              </w:rPr>
            </w:pPr>
          </w:p>
          <w:p w14:paraId="27323B22" w14:textId="77777777" w:rsidR="004669D0" w:rsidRPr="00885417" w:rsidRDefault="004669D0" w:rsidP="004669D0">
            <w:pPr>
              <w:jc w:val="both"/>
              <w:rPr>
                <w:rFonts w:ascii="Times New Roman" w:hAnsi="Times New Roman" w:cs="Times New Roman"/>
                <w:lang w:val="es-CR"/>
              </w:rPr>
            </w:pPr>
          </w:p>
          <w:p w14:paraId="6C4F37F7" w14:textId="77777777" w:rsidR="004669D0" w:rsidRDefault="004669D0" w:rsidP="004669D0">
            <w:pPr>
              <w:jc w:val="both"/>
              <w:rPr>
                <w:rFonts w:ascii="Times New Roman" w:hAnsi="Times New Roman" w:cs="Times New Roman"/>
                <w:b/>
                <w:lang w:val="es-CR"/>
              </w:rPr>
            </w:pPr>
            <w:r>
              <w:rPr>
                <w:rFonts w:ascii="Times New Roman" w:hAnsi="Times New Roman" w:cs="Times New Roman"/>
                <w:b/>
                <w:lang w:val="es-CR"/>
              </w:rPr>
              <w:t xml:space="preserve">Respuesta </w:t>
            </w:r>
            <w:r w:rsidRPr="00A365D9">
              <w:rPr>
                <w:rFonts w:ascii="Times New Roman" w:hAnsi="Times New Roman" w:cs="Times New Roman"/>
                <w:b/>
                <w:lang w:val="es-CR"/>
              </w:rPr>
              <w:t>BCROPC-142-19:</w:t>
            </w:r>
          </w:p>
          <w:p w14:paraId="42295F84" w14:textId="3BD60BB9" w:rsidR="004669D0" w:rsidRPr="00AF0120" w:rsidRDefault="004669D0" w:rsidP="004669D0">
            <w:pPr>
              <w:rPr>
                <w:rFonts w:ascii="Times New Roman" w:hAnsi="Times New Roman" w:cs="Times New Roman"/>
              </w:rPr>
            </w:pPr>
            <w:r w:rsidRPr="004669D0">
              <w:rPr>
                <w:rFonts w:ascii="Times New Roman" w:hAnsi="Times New Roman" w:cs="Times New Roman"/>
              </w:rPr>
              <w:lastRenderedPageBreak/>
              <w:t xml:space="preserve">El Comité de Inversiones </w:t>
            </w:r>
            <w:r>
              <w:rPr>
                <w:rFonts w:ascii="Times New Roman" w:hAnsi="Times New Roman" w:cs="Times New Roman"/>
              </w:rPr>
              <w:t xml:space="preserve">es el que debe presentar el informe </w:t>
            </w:r>
            <w:r w:rsidRPr="004669D0">
              <w:rPr>
                <w:rFonts w:ascii="Times New Roman" w:hAnsi="Times New Roman" w:cs="Times New Roman"/>
              </w:rPr>
              <w:t>para conocimiento y aprobación del Órgano de Dirección</w:t>
            </w:r>
            <w:r>
              <w:rPr>
                <w:rFonts w:ascii="Times New Roman" w:hAnsi="Times New Roman" w:cs="Times New Roman"/>
              </w:rPr>
              <w:t xml:space="preserve">. Desde este punto de vista, el riesgo que se señala lo gestionan y acotan los propios órganos de la entidad responsables de realizar esta evaluación en particular.  </w:t>
            </w:r>
          </w:p>
        </w:tc>
        <w:tc>
          <w:tcPr>
            <w:tcW w:w="3533" w:type="dxa"/>
          </w:tcPr>
          <w:p w14:paraId="2A36704D" w14:textId="77777777" w:rsidR="004669D0" w:rsidRPr="00AF0120" w:rsidRDefault="004669D0" w:rsidP="004669D0">
            <w:pPr>
              <w:jc w:val="both"/>
              <w:rPr>
                <w:rFonts w:ascii="Times New Roman" w:hAnsi="Times New Roman" w:cs="Times New Roman"/>
                <w:b/>
              </w:rPr>
            </w:pPr>
            <w:r w:rsidRPr="00AF0120">
              <w:rPr>
                <w:rFonts w:ascii="Times New Roman" w:hAnsi="Times New Roman" w:cs="Times New Roman"/>
                <w:b/>
              </w:rPr>
              <w:lastRenderedPageBreak/>
              <w:t>Artículo 9.  Pérdida de requisitos en la contratación de proveedores</w:t>
            </w:r>
          </w:p>
          <w:p w14:paraId="057EF9BE" w14:textId="041B4DE6" w:rsidR="004669D0" w:rsidRDefault="004669D0" w:rsidP="004669D0">
            <w:pPr>
              <w:jc w:val="both"/>
              <w:rPr>
                <w:rFonts w:ascii="Times New Roman" w:hAnsi="Times New Roman" w:cs="Times New Roman"/>
              </w:rPr>
            </w:pPr>
            <w:r w:rsidRPr="00AF0120">
              <w:rPr>
                <w:rFonts w:ascii="Times New Roman" w:hAnsi="Times New Roman" w:cs="Times New Roman"/>
              </w:rPr>
              <w:t xml:space="preserve">Cualquier incumplimiento de los aspectos mínimos requeridos a los proveedores de servicios </w:t>
            </w:r>
            <w:r>
              <w:rPr>
                <w:rFonts w:ascii="Times New Roman" w:hAnsi="Times New Roman" w:cs="Times New Roman"/>
              </w:rPr>
              <w:t xml:space="preserve">previstos en el Reglamento de gestión de activos, </w:t>
            </w:r>
            <w:r w:rsidRPr="00AF0120">
              <w:rPr>
                <w:rFonts w:ascii="Times New Roman" w:hAnsi="Times New Roman" w:cs="Times New Roman"/>
              </w:rPr>
              <w:t xml:space="preserve">deberá ser comunicado a la Superintendencia dentro del plazo y las condiciones establecidas </w:t>
            </w:r>
            <w:r>
              <w:rPr>
                <w:rFonts w:ascii="Times New Roman" w:hAnsi="Times New Roman" w:cs="Times New Roman"/>
              </w:rPr>
              <w:t>en dicho cuerpo normativo.</w:t>
            </w:r>
          </w:p>
          <w:p w14:paraId="733F913D" w14:textId="77777777" w:rsidR="004669D0" w:rsidRPr="00AF0120" w:rsidRDefault="004669D0" w:rsidP="004669D0">
            <w:pPr>
              <w:jc w:val="both"/>
              <w:rPr>
                <w:rFonts w:ascii="Times New Roman" w:hAnsi="Times New Roman" w:cs="Times New Roman"/>
              </w:rPr>
            </w:pPr>
          </w:p>
          <w:p w14:paraId="68B3B93C" w14:textId="77777777" w:rsidR="004669D0" w:rsidRPr="00AF0120" w:rsidRDefault="004669D0" w:rsidP="004669D0">
            <w:pPr>
              <w:jc w:val="both"/>
              <w:rPr>
                <w:rFonts w:ascii="Times New Roman" w:hAnsi="Times New Roman" w:cs="Times New Roman"/>
              </w:rPr>
            </w:pPr>
            <w:r w:rsidRPr="00AF0120">
              <w:rPr>
                <w:rFonts w:ascii="Times New Roman" w:hAnsi="Times New Roman" w:cs="Times New Roman"/>
              </w:rPr>
              <w:t>El Comité de Inversiones deberá presentar para conocimiento y aprobación del Órgano de Dirección, como mínimo, lo siguiente:</w:t>
            </w:r>
          </w:p>
          <w:p w14:paraId="51D6182D" w14:textId="77777777" w:rsidR="004669D0" w:rsidRPr="00AF0120" w:rsidRDefault="004669D0" w:rsidP="004669D0">
            <w:pPr>
              <w:pStyle w:val="Prrafodelista"/>
              <w:numPr>
                <w:ilvl w:val="0"/>
                <w:numId w:val="4"/>
              </w:numPr>
              <w:spacing w:line="240" w:lineRule="auto"/>
              <w:jc w:val="both"/>
              <w:rPr>
                <w:rFonts w:cs="Times New Roman"/>
                <w:sz w:val="22"/>
              </w:rPr>
            </w:pPr>
            <w:r w:rsidRPr="00AF0120">
              <w:rPr>
                <w:rFonts w:cs="Times New Roman"/>
                <w:sz w:val="22"/>
              </w:rPr>
              <w:t>Análisis de la situación que originó la pérdida de requisitos.</w:t>
            </w:r>
          </w:p>
          <w:p w14:paraId="1D6A46F9" w14:textId="77777777" w:rsidR="004669D0" w:rsidRPr="00AF0120" w:rsidRDefault="004669D0" w:rsidP="004669D0">
            <w:pPr>
              <w:pStyle w:val="Prrafodelista"/>
              <w:numPr>
                <w:ilvl w:val="0"/>
                <w:numId w:val="4"/>
              </w:numPr>
              <w:spacing w:line="240" w:lineRule="auto"/>
              <w:jc w:val="both"/>
              <w:rPr>
                <w:rFonts w:cs="Times New Roman"/>
                <w:sz w:val="22"/>
              </w:rPr>
            </w:pPr>
            <w:r w:rsidRPr="00AF0120">
              <w:rPr>
                <w:rFonts w:cs="Times New Roman"/>
                <w:sz w:val="22"/>
              </w:rPr>
              <w:t xml:space="preserve">Su criterio en relación con la conveniencia o no de suspender el servicio, considerando los riesgos a los cuales se exponen los fondos </w:t>
            </w:r>
            <w:r w:rsidRPr="00AF0120">
              <w:rPr>
                <w:rFonts w:cs="Times New Roman"/>
                <w:sz w:val="22"/>
              </w:rPr>
              <w:lastRenderedPageBreak/>
              <w:t>con ocasión de la situación presentada.</w:t>
            </w:r>
          </w:p>
          <w:p w14:paraId="11318305" w14:textId="77777777" w:rsidR="004669D0" w:rsidRPr="00AF0120" w:rsidRDefault="004669D0" w:rsidP="004669D0">
            <w:pPr>
              <w:pStyle w:val="Prrafodelista"/>
              <w:numPr>
                <w:ilvl w:val="0"/>
                <w:numId w:val="4"/>
              </w:numPr>
              <w:spacing w:line="240" w:lineRule="auto"/>
              <w:jc w:val="both"/>
              <w:rPr>
                <w:rFonts w:cs="Times New Roman"/>
                <w:sz w:val="22"/>
              </w:rPr>
            </w:pPr>
            <w:r w:rsidRPr="00AF0120">
              <w:rPr>
                <w:rFonts w:cs="Times New Roman"/>
                <w:sz w:val="22"/>
              </w:rPr>
              <w:t>Impacto en la cartera.</w:t>
            </w:r>
          </w:p>
          <w:p w14:paraId="337C1203" w14:textId="77777777" w:rsidR="004669D0" w:rsidRPr="00AF0120" w:rsidRDefault="004669D0" w:rsidP="004669D0">
            <w:pPr>
              <w:pStyle w:val="Prrafodelista"/>
              <w:numPr>
                <w:ilvl w:val="0"/>
                <w:numId w:val="4"/>
              </w:numPr>
              <w:spacing w:line="240" w:lineRule="auto"/>
              <w:jc w:val="both"/>
              <w:rPr>
                <w:rFonts w:cs="Times New Roman"/>
                <w:sz w:val="22"/>
              </w:rPr>
            </w:pPr>
            <w:r w:rsidRPr="00AF0120">
              <w:rPr>
                <w:rFonts w:cs="Times New Roman"/>
                <w:sz w:val="22"/>
              </w:rPr>
              <w:t>El plan de acción aprobado, para que sea remitido a la Superintendencia de Pensiones.</w:t>
            </w:r>
          </w:p>
          <w:p w14:paraId="39CBC399" w14:textId="77777777" w:rsidR="004669D0" w:rsidRPr="00AF0120" w:rsidRDefault="004669D0" w:rsidP="004669D0">
            <w:pPr>
              <w:jc w:val="both"/>
              <w:rPr>
                <w:rFonts w:ascii="Times New Roman" w:hAnsi="Times New Roman" w:cs="Times New Roman"/>
              </w:rPr>
            </w:pPr>
          </w:p>
          <w:p w14:paraId="484231AE" w14:textId="591B9B7F" w:rsidR="004669D0" w:rsidRPr="00AF0120" w:rsidRDefault="004669D0" w:rsidP="004669D0">
            <w:pPr>
              <w:jc w:val="both"/>
              <w:rPr>
                <w:rFonts w:ascii="Times New Roman" w:hAnsi="Times New Roman" w:cs="Times New Roman"/>
              </w:rPr>
            </w:pPr>
            <w:r w:rsidRPr="00AF0120">
              <w:rPr>
                <w:rFonts w:ascii="Times New Roman" w:hAnsi="Times New Roman" w:cs="Times New Roman"/>
              </w:rPr>
              <w:t>Lo anterior deberá quedar debidamente consignado en el acta del Comité de Inversiones correspondiente.</w:t>
            </w:r>
          </w:p>
        </w:tc>
      </w:tr>
      <w:tr w:rsidR="004669D0" w:rsidRPr="00AF0120" w14:paraId="1FE116EB" w14:textId="77777777" w:rsidTr="00AC27A1">
        <w:trPr>
          <w:trHeight w:val="250"/>
        </w:trPr>
        <w:tc>
          <w:tcPr>
            <w:tcW w:w="3533" w:type="dxa"/>
          </w:tcPr>
          <w:p w14:paraId="11BEBE4F" w14:textId="77777777" w:rsidR="004669D0" w:rsidRPr="00AF0120" w:rsidRDefault="004669D0" w:rsidP="004669D0">
            <w:pPr>
              <w:jc w:val="center"/>
              <w:rPr>
                <w:rFonts w:ascii="Times New Roman" w:eastAsia="Calibri" w:hAnsi="Times New Roman" w:cs="Times New Roman"/>
                <w:b/>
              </w:rPr>
            </w:pPr>
            <w:r w:rsidRPr="00AF0120">
              <w:rPr>
                <w:rFonts w:ascii="Times New Roman" w:eastAsia="Calibri" w:hAnsi="Times New Roman" w:cs="Times New Roman"/>
                <w:b/>
              </w:rPr>
              <w:lastRenderedPageBreak/>
              <w:t>ANEXO 1</w:t>
            </w:r>
          </w:p>
          <w:p w14:paraId="1D1657E2" w14:textId="6A269340" w:rsidR="004669D0" w:rsidRPr="00AF0120" w:rsidRDefault="004669D0" w:rsidP="004669D0">
            <w:pPr>
              <w:jc w:val="center"/>
              <w:rPr>
                <w:rFonts w:ascii="Times New Roman" w:eastAsia="Calibri" w:hAnsi="Times New Roman" w:cs="Times New Roman"/>
                <w:b/>
              </w:rPr>
            </w:pPr>
            <w:r w:rsidRPr="00AF0120">
              <w:rPr>
                <w:rFonts w:ascii="Times New Roman" w:eastAsia="Calibri" w:hAnsi="Times New Roman" w:cs="Times New Roman"/>
                <w:b/>
              </w:rPr>
              <w:t>CONTENIDO MÍNIMO DE LA COMUNICACIÓN Y PLAN DE ACCIÓN DEL INCUMPLIMIENTO DE LÍMITES DE INVERSIÓN, SEGÚN ARTÍCULO 64 DE LA LEY DE PROTECCIÓN AL TRABAJADOR</w:t>
            </w:r>
          </w:p>
        </w:tc>
        <w:tc>
          <w:tcPr>
            <w:tcW w:w="3533" w:type="dxa"/>
          </w:tcPr>
          <w:p w14:paraId="7D3642E7" w14:textId="77777777" w:rsidR="004669D0" w:rsidRPr="00AF0120" w:rsidRDefault="004669D0" w:rsidP="004669D0">
            <w:pPr>
              <w:jc w:val="both"/>
              <w:rPr>
                <w:rFonts w:ascii="Times New Roman" w:hAnsi="Times New Roman" w:cs="Times New Roman"/>
              </w:rPr>
            </w:pPr>
          </w:p>
        </w:tc>
        <w:tc>
          <w:tcPr>
            <w:tcW w:w="3533" w:type="dxa"/>
          </w:tcPr>
          <w:p w14:paraId="25B194E6" w14:textId="77777777" w:rsidR="004669D0" w:rsidRPr="00AF0120" w:rsidRDefault="004669D0" w:rsidP="004669D0">
            <w:pPr>
              <w:rPr>
                <w:rFonts w:ascii="Times New Roman" w:hAnsi="Times New Roman" w:cs="Times New Roman"/>
              </w:rPr>
            </w:pPr>
          </w:p>
        </w:tc>
        <w:tc>
          <w:tcPr>
            <w:tcW w:w="3533" w:type="dxa"/>
          </w:tcPr>
          <w:p w14:paraId="3650306A" w14:textId="77777777" w:rsidR="004669D0" w:rsidRPr="004669D0" w:rsidRDefault="004669D0" w:rsidP="004669D0">
            <w:pPr>
              <w:jc w:val="center"/>
              <w:rPr>
                <w:rFonts w:ascii="Times New Roman" w:hAnsi="Times New Roman" w:cs="Times New Roman"/>
                <w:b/>
              </w:rPr>
            </w:pPr>
            <w:r w:rsidRPr="004669D0">
              <w:rPr>
                <w:rFonts w:ascii="Times New Roman" w:hAnsi="Times New Roman" w:cs="Times New Roman"/>
                <w:b/>
              </w:rPr>
              <w:t>ANEXO 1</w:t>
            </w:r>
          </w:p>
          <w:p w14:paraId="28AA147F" w14:textId="3D5E1977" w:rsidR="004669D0" w:rsidRPr="00AF0120" w:rsidRDefault="004669D0" w:rsidP="004669D0">
            <w:pPr>
              <w:jc w:val="center"/>
              <w:rPr>
                <w:rFonts w:ascii="Times New Roman" w:hAnsi="Times New Roman" w:cs="Times New Roman"/>
              </w:rPr>
            </w:pPr>
            <w:r w:rsidRPr="004669D0">
              <w:rPr>
                <w:rFonts w:ascii="Times New Roman" w:hAnsi="Times New Roman" w:cs="Times New Roman"/>
                <w:b/>
              </w:rPr>
              <w:t>CONTENIDO MÍNIMO DE LA COMUNICACIÓN Y PLAN DE ACCIÓN DEL INCUMPLIMIENTO DE LÍMITES DE INVERSIÓN, SEGÚN ARTÍCULO 64 DE LA LEY DE PROTECCIÓN AL TRABAJADOR</w:t>
            </w:r>
          </w:p>
        </w:tc>
      </w:tr>
    </w:tbl>
    <w:p w14:paraId="006C059F" w14:textId="547907C9" w:rsidR="00CE6F0D" w:rsidRDefault="00CE6F0D"/>
    <w:p w14:paraId="416A3D89" w14:textId="77777777" w:rsidR="00075898" w:rsidRPr="00075898" w:rsidRDefault="00075898" w:rsidP="00075898">
      <w:pPr>
        <w:spacing w:after="0"/>
        <w:rPr>
          <w:b/>
          <w:sz w:val="16"/>
          <w:szCs w:val="16"/>
        </w:rPr>
      </w:pPr>
      <w:r w:rsidRPr="00075898">
        <w:rPr>
          <w:b/>
          <w:sz w:val="16"/>
          <w:szCs w:val="16"/>
        </w:rPr>
        <w:t>BCR, OPC</w:t>
      </w:r>
    </w:p>
    <w:p w14:paraId="11FDEF77" w14:textId="6FD79824" w:rsidR="00075898" w:rsidRDefault="0028574B" w:rsidP="00075898">
      <w:pPr>
        <w:spacing w:after="0"/>
        <w:rPr>
          <w:sz w:val="16"/>
          <w:szCs w:val="16"/>
        </w:rPr>
      </w:pPr>
      <w:hyperlink r:id="rId11" w:history="1">
        <w:r w:rsidR="00075898" w:rsidRPr="00075898">
          <w:rPr>
            <w:rStyle w:val="Hipervnculo"/>
            <w:sz w:val="16"/>
            <w:szCs w:val="16"/>
          </w:rPr>
          <w:t>https://si.supen.fi.cr/Tramites/Tram_Detalle_Evento.aspx?evento=2019015911</w:t>
        </w:r>
      </w:hyperlink>
    </w:p>
    <w:p w14:paraId="3CF49C75" w14:textId="77777777" w:rsidR="00AA2EED" w:rsidRPr="00075898" w:rsidRDefault="00AA2EED" w:rsidP="00075898">
      <w:pPr>
        <w:spacing w:after="0"/>
        <w:rPr>
          <w:b/>
          <w:sz w:val="16"/>
          <w:szCs w:val="16"/>
        </w:rPr>
      </w:pPr>
    </w:p>
    <w:p w14:paraId="37DDE1AE" w14:textId="29D9BD9B" w:rsidR="00075898" w:rsidRPr="00075898" w:rsidRDefault="00075898" w:rsidP="00075898">
      <w:pPr>
        <w:spacing w:after="0"/>
        <w:rPr>
          <w:b/>
          <w:sz w:val="16"/>
          <w:szCs w:val="16"/>
        </w:rPr>
      </w:pPr>
      <w:r w:rsidRPr="00075898">
        <w:rPr>
          <w:b/>
          <w:sz w:val="16"/>
          <w:szCs w:val="16"/>
        </w:rPr>
        <w:t>ACOP</w:t>
      </w:r>
    </w:p>
    <w:p w14:paraId="318CD3BF" w14:textId="0F230641" w:rsidR="00075898" w:rsidRDefault="0028574B" w:rsidP="00075898">
      <w:pPr>
        <w:spacing w:after="0"/>
        <w:rPr>
          <w:sz w:val="16"/>
          <w:szCs w:val="16"/>
        </w:rPr>
      </w:pPr>
      <w:hyperlink r:id="rId12" w:history="1">
        <w:r w:rsidR="00075898" w:rsidRPr="00075898">
          <w:rPr>
            <w:rStyle w:val="Hipervnculo"/>
            <w:sz w:val="16"/>
            <w:szCs w:val="16"/>
          </w:rPr>
          <w:t>https://si.supen.fi.cr/Tramites/Tram_Detalle_Evento.aspx?evento=2019016297</w:t>
        </w:r>
      </w:hyperlink>
    </w:p>
    <w:p w14:paraId="4DB3A59B" w14:textId="77777777" w:rsidR="00AA2EED" w:rsidRDefault="00AA2EED" w:rsidP="00075898">
      <w:pPr>
        <w:spacing w:after="0"/>
        <w:rPr>
          <w:sz w:val="16"/>
          <w:szCs w:val="16"/>
        </w:rPr>
      </w:pPr>
    </w:p>
    <w:p w14:paraId="196D6A1A" w14:textId="02A426AC" w:rsidR="00075898" w:rsidRPr="00075898" w:rsidRDefault="00075898" w:rsidP="00075898">
      <w:pPr>
        <w:spacing w:after="0"/>
        <w:rPr>
          <w:sz w:val="16"/>
          <w:szCs w:val="16"/>
        </w:rPr>
      </w:pPr>
      <w:r w:rsidRPr="00075898">
        <w:rPr>
          <w:b/>
          <w:sz w:val="16"/>
          <w:szCs w:val="16"/>
        </w:rPr>
        <w:t>POPULAR PENSIONES, OPC</w:t>
      </w:r>
    </w:p>
    <w:p w14:paraId="12780AF0" w14:textId="0000352E" w:rsidR="00075898" w:rsidRPr="00075898" w:rsidRDefault="0028574B" w:rsidP="00075898">
      <w:pPr>
        <w:spacing w:after="0"/>
        <w:rPr>
          <w:sz w:val="16"/>
          <w:szCs w:val="16"/>
        </w:rPr>
      </w:pPr>
      <w:hyperlink r:id="rId13" w:history="1">
        <w:r w:rsidR="00075898" w:rsidRPr="00075898">
          <w:rPr>
            <w:rStyle w:val="Hipervnculo"/>
            <w:sz w:val="16"/>
            <w:szCs w:val="16"/>
          </w:rPr>
          <w:t>https://si.supen.fi.cr/Tramites/Tram_Detalle_Evento.aspx?evento=2019016346</w:t>
        </w:r>
      </w:hyperlink>
    </w:p>
    <w:p w14:paraId="4B2065A6" w14:textId="77777777" w:rsidR="00D1240C" w:rsidRPr="00CE6F0D" w:rsidRDefault="00CE6F0D" w:rsidP="00CE6F0D">
      <w:pPr>
        <w:tabs>
          <w:tab w:val="left" w:pos="1056"/>
        </w:tabs>
      </w:pPr>
      <w:r>
        <w:tab/>
      </w:r>
    </w:p>
    <w:sectPr w:rsidR="00D1240C" w:rsidRPr="00CE6F0D" w:rsidSect="00AC27A1">
      <w:headerReference w:type="default" r:id="rId14"/>
      <w:footerReference w:type="default" r:id="rId15"/>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E91DC" w14:textId="77777777" w:rsidR="00DD02A0" w:rsidRDefault="00DD02A0" w:rsidP="003F4B5F">
      <w:pPr>
        <w:spacing w:after="0" w:line="240" w:lineRule="auto"/>
      </w:pPr>
      <w:r>
        <w:separator/>
      </w:r>
    </w:p>
  </w:endnote>
  <w:endnote w:type="continuationSeparator" w:id="0">
    <w:p w14:paraId="451D1A15" w14:textId="77777777" w:rsidR="00DD02A0" w:rsidRDefault="00DD02A0" w:rsidP="003F4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407158"/>
      <w:docPartObj>
        <w:docPartGallery w:val="Page Numbers (Bottom of Page)"/>
        <w:docPartUnique/>
      </w:docPartObj>
    </w:sdtPr>
    <w:sdtEndPr/>
    <w:sdtContent>
      <w:sdt>
        <w:sdtPr>
          <w:id w:val="-1769616900"/>
          <w:docPartObj>
            <w:docPartGallery w:val="Page Numbers (Top of Page)"/>
            <w:docPartUnique/>
          </w:docPartObj>
        </w:sdtPr>
        <w:sdtEndPr/>
        <w:sdtContent>
          <w:p w14:paraId="779B75D0" w14:textId="7EA953BF" w:rsidR="006D7C87" w:rsidRDefault="006D7C87">
            <w:pPr>
              <w:pStyle w:val="Piedepgina"/>
              <w:jc w:val="right"/>
            </w:pPr>
            <w:r w:rsidRPr="00E84C4E">
              <w:rPr>
                <w:i/>
              </w:rPr>
              <w:t xml:space="preserve">Página </w:t>
            </w:r>
            <w:r w:rsidRPr="00E84C4E">
              <w:rPr>
                <w:b/>
                <w:bCs/>
                <w:i/>
                <w:sz w:val="24"/>
                <w:szCs w:val="24"/>
              </w:rPr>
              <w:fldChar w:fldCharType="begin"/>
            </w:r>
            <w:r w:rsidRPr="00E84C4E">
              <w:rPr>
                <w:b/>
                <w:bCs/>
                <w:i/>
              </w:rPr>
              <w:instrText>PAGE</w:instrText>
            </w:r>
            <w:r w:rsidRPr="00E84C4E">
              <w:rPr>
                <w:b/>
                <w:bCs/>
                <w:i/>
                <w:sz w:val="24"/>
                <w:szCs w:val="24"/>
              </w:rPr>
              <w:fldChar w:fldCharType="separate"/>
            </w:r>
            <w:r w:rsidRPr="00E84C4E">
              <w:rPr>
                <w:b/>
                <w:bCs/>
                <w:i/>
              </w:rPr>
              <w:t>2</w:t>
            </w:r>
            <w:r w:rsidRPr="00E84C4E">
              <w:rPr>
                <w:b/>
                <w:bCs/>
                <w:i/>
                <w:sz w:val="24"/>
                <w:szCs w:val="24"/>
              </w:rPr>
              <w:fldChar w:fldCharType="end"/>
            </w:r>
            <w:r w:rsidRPr="00E84C4E">
              <w:rPr>
                <w:i/>
              </w:rPr>
              <w:t xml:space="preserve"> de </w:t>
            </w:r>
            <w:r w:rsidRPr="00E84C4E">
              <w:rPr>
                <w:b/>
                <w:bCs/>
                <w:i/>
                <w:sz w:val="24"/>
                <w:szCs w:val="24"/>
              </w:rPr>
              <w:fldChar w:fldCharType="begin"/>
            </w:r>
            <w:r w:rsidRPr="00E84C4E">
              <w:rPr>
                <w:b/>
                <w:bCs/>
                <w:i/>
              </w:rPr>
              <w:instrText>NUMPAGES</w:instrText>
            </w:r>
            <w:r w:rsidRPr="00E84C4E">
              <w:rPr>
                <w:b/>
                <w:bCs/>
                <w:i/>
                <w:sz w:val="24"/>
                <w:szCs w:val="24"/>
              </w:rPr>
              <w:fldChar w:fldCharType="separate"/>
            </w:r>
            <w:r w:rsidRPr="00E84C4E">
              <w:rPr>
                <w:b/>
                <w:bCs/>
                <w:i/>
              </w:rPr>
              <w:t>2</w:t>
            </w:r>
            <w:r w:rsidRPr="00E84C4E">
              <w:rPr>
                <w:b/>
                <w:bCs/>
                <w:i/>
                <w:sz w:val="24"/>
                <w:szCs w:val="24"/>
              </w:rPr>
              <w:fldChar w:fldCharType="end"/>
            </w:r>
          </w:p>
        </w:sdtContent>
      </w:sdt>
    </w:sdtContent>
  </w:sdt>
  <w:p w14:paraId="487E1859" w14:textId="77777777" w:rsidR="003F4B5F" w:rsidRDefault="003F4B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A8FE6" w14:textId="77777777" w:rsidR="00DD02A0" w:rsidRDefault="00DD02A0" w:rsidP="003F4B5F">
      <w:pPr>
        <w:spacing w:after="0" w:line="240" w:lineRule="auto"/>
      </w:pPr>
      <w:r>
        <w:separator/>
      </w:r>
    </w:p>
  </w:footnote>
  <w:footnote w:type="continuationSeparator" w:id="0">
    <w:p w14:paraId="2FBC6D85" w14:textId="77777777" w:rsidR="00DD02A0" w:rsidRDefault="00DD02A0" w:rsidP="003F4B5F">
      <w:pPr>
        <w:spacing w:after="0" w:line="240" w:lineRule="auto"/>
      </w:pPr>
      <w:r>
        <w:continuationSeparator/>
      </w:r>
    </w:p>
  </w:footnote>
  <w:footnote w:id="1">
    <w:p w14:paraId="2A797B2D" w14:textId="4CEEA8D3" w:rsidR="0063448D" w:rsidRDefault="0063448D">
      <w:pPr>
        <w:pStyle w:val="Textonotapie"/>
        <w:rPr>
          <w:lang w:val="es-CR"/>
        </w:rPr>
      </w:pPr>
      <w:r>
        <w:rPr>
          <w:rStyle w:val="Refdenotaalpie"/>
        </w:rPr>
        <w:footnoteRef/>
      </w:r>
      <w:r>
        <w:t xml:space="preserve"> </w:t>
      </w:r>
      <w:r>
        <w:rPr>
          <w:lang w:val="es-CR"/>
        </w:rPr>
        <w:t xml:space="preserve">Consultado por medio del oficio SP-289-2019 de 25 de marzo de 2019 </w:t>
      </w:r>
    </w:p>
    <w:p w14:paraId="210C97BC" w14:textId="74EF9CC2" w:rsidR="0063448D" w:rsidRDefault="0028574B">
      <w:pPr>
        <w:pStyle w:val="Textonotapie"/>
        <w:rPr>
          <w:lang w:val="es-CR"/>
        </w:rPr>
      </w:pPr>
      <w:hyperlink r:id="rId1" w:history="1">
        <w:r w:rsidR="0063448D" w:rsidRPr="00304BCC">
          <w:rPr>
            <w:rStyle w:val="Hipervnculo"/>
            <w:lang w:val="es-CR"/>
          </w:rPr>
          <w:t>https://si.supen.fi.cr/Tramites/Tram_Detalle_Evento.aspx?evento=2019014305</w:t>
        </w:r>
      </w:hyperlink>
    </w:p>
    <w:p w14:paraId="0C701A5E" w14:textId="77777777" w:rsidR="0063448D" w:rsidRPr="0063448D" w:rsidRDefault="0063448D">
      <w:pPr>
        <w:pStyle w:val="Textonotapie"/>
        <w:rPr>
          <w:lang w:val="es-C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4A06" w14:textId="77777777" w:rsidR="0063448D" w:rsidRDefault="0063448D" w:rsidP="008A75B0">
    <w:pPr>
      <w:pStyle w:val="Encabezado"/>
      <w:jc w:val="center"/>
      <w:rPr>
        <w:b/>
      </w:rPr>
    </w:pPr>
  </w:p>
  <w:p w14:paraId="16A53076" w14:textId="77777777" w:rsidR="0063448D" w:rsidRDefault="0063448D" w:rsidP="008A75B0">
    <w:pPr>
      <w:pStyle w:val="Encabezado"/>
      <w:jc w:val="center"/>
      <w:rPr>
        <w:b/>
      </w:rPr>
    </w:pPr>
  </w:p>
  <w:p w14:paraId="77EEA224" w14:textId="5A40E6F2" w:rsidR="0063448D" w:rsidRDefault="006D7C87" w:rsidP="008A75B0">
    <w:pPr>
      <w:pStyle w:val="Encabezado"/>
      <w:jc w:val="center"/>
      <w:rPr>
        <w:b/>
      </w:rPr>
    </w:pPr>
    <w:r w:rsidRPr="002E2C5A">
      <w:rPr>
        <w:b/>
      </w:rPr>
      <w:t>Matriz de Consulta Externa</w:t>
    </w:r>
  </w:p>
  <w:p w14:paraId="06E8C814" w14:textId="77777777" w:rsidR="0063448D" w:rsidRDefault="0063448D" w:rsidP="008A75B0">
    <w:pPr>
      <w:pStyle w:val="Encabezado"/>
      <w:jc w:val="center"/>
      <w:rPr>
        <w:b/>
      </w:rPr>
    </w:pPr>
  </w:p>
  <w:p w14:paraId="30254986" w14:textId="4D52AE1E" w:rsidR="00AD1BE7" w:rsidRPr="002E2C5A" w:rsidRDefault="008A75B0" w:rsidP="008A75B0">
    <w:pPr>
      <w:pStyle w:val="Encabezado"/>
      <w:jc w:val="center"/>
      <w:rPr>
        <w:b/>
        <w:i/>
      </w:rPr>
    </w:pPr>
    <w:r w:rsidRPr="002E2C5A">
      <w:rPr>
        <w:b/>
        <w:i/>
      </w:rPr>
      <w:t xml:space="preserve"> </w:t>
    </w:r>
    <w:r w:rsidRPr="002E2C5A">
      <w:rPr>
        <w:b/>
      </w:rPr>
      <w:t>Reforma del Acuerdo SP-A-049 del 11 de junio de 2004 “Disposiciones aplicables a las entidades supervisadas sobre excesos de inversión en los fondos administrados y pérdida de requisitos de los valores adquiridos”</w:t>
    </w:r>
  </w:p>
  <w:p w14:paraId="6F4286E0" w14:textId="77777777" w:rsidR="006D7C87" w:rsidRDefault="006D7C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764D"/>
    <w:multiLevelType w:val="hybridMultilevel"/>
    <w:tmpl w:val="B7445050"/>
    <w:lvl w:ilvl="0" w:tplc="580A001B">
      <w:start w:val="1"/>
      <w:numFmt w:val="low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FC528C1"/>
    <w:multiLevelType w:val="hybridMultilevel"/>
    <w:tmpl w:val="F48E960A"/>
    <w:lvl w:ilvl="0" w:tplc="580A001B">
      <w:start w:val="1"/>
      <w:numFmt w:val="low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1C5A52EE"/>
    <w:multiLevelType w:val="hybridMultilevel"/>
    <w:tmpl w:val="084469DC"/>
    <w:lvl w:ilvl="0" w:tplc="580A001B">
      <w:start w:val="1"/>
      <w:numFmt w:val="low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2CEF0010"/>
    <w:multiLevelType w:val="hybridMultilevel"/>
    <w:tmpl w:val="084469DC"/>
    <w:lvl w:ilvl="0" w:tplc="580A001B">
      <w:start w:val="1"/>
      <w:numFmt w:val="low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30D3592E"/>
    <w:multiLevelType w:val="hybridMultilevel"/>
    <w:tmpl w:val="F48E960A"/>
    <w:lvl w:ilvl="0" w:tplc="580A001B">
      <w:start w:val="1"/>
      <w:numFmt w:val="low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32FB01D0"/>
    <w:multiLevelType w:val="hybridMultilevel"/>
    <w:tmpl w:val="084469DC"/>
    <w:lvl w:ilvl="0" w:tplc="580A001B">
      <w:start w:val="1"/>
      <w:numFmt w:val="low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56F53B20"/>
    <w:multiLevelType w:val="hybridMultilevel"/>
    <w:tmpl w:val="F48E960A"/>
    <w:lvl w:ilvl="0" w:tplc="580A001B">
      <w:start w:val="1"/>
      <w:numFmt w:val="low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6AE6473A"/>
    <w:multiLevelType w:val="hybridMultilevel"/>
    <w:tmpl w:val="8A541E0C"/>
    <w:lvl w:ilvl="0" w:tplc="580A001B">
      <w:start w:val="1"/>
      <w:numFmt w:val="low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6D313019"/>
    <w:multiLevelType w:val="hybridMultilevel"/>
    <w:tmpl w:val="85C67532"/>
    <w:lvl w:ilvl="0" w:tplc="580A001B">
      <w:start w:val="1"/>
      <w:numFmt w:val="low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7"/>
  </w:num>
  <w:num w:numId="5">
    <w:abstractNumId w:val="2"/>
  </w:num>
  <w:num w:numId="6">
    <w:abstractNumId w:val="5"/>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5F"/>
    <w:rsid w:val="00022263"/>
    <w:rsid w:val="000450A6"/>
    <w:rsid w:val="00075898"/>
    <w:rsid w:val="000A2AC0"/>
    <w:rsid w:val="000C7B2F"/>
    <w:rsid w:val="000E0829"/>
    <w:rsid w:val="00136D5A"/>
    <w:rsid w:val="0014106E"/>
    <w:rsid w:val="00165D5A"/>
    <w:rsid w:val="001E0ADF"/>
    <w:rsid w:val="001E5DFA"/>
    <w:rsid w:val="001E6692"/>
    <w:rsid w:val="0020043F"/>
    <w:rsid w:val="00261E89"/>
    <w:rsid w:val="00283D49"/>
    <w:rsid w:val="0028574B"/>
    <w:rsid w:val="002E245E"/>
    <w:rsid w:val="002E2C5A"/>
    <w:rsid w:val="00303888"/>
    <w:rsid w:val="00315772"/>
    <w:rsid w:val="00364753"/>
    <w:rsid w:val="0036754E"/>
    <w:rsid w:val="00370387"/>
    <w:rsid w:val="00376D94"/>
    <w:rsid w:val="003C41D8"/>
    <w:rsid w:val="003F4B5F"/>
    <w:rsid w:val="003F5DB6"/>
    <w:rsid w:val="00417D5E"/>
    <w:rsid w:val="00431EFC"/>
    <w:rsid w:val="004669D0"/>
    <w:rsid w:val="00467594"/>
    <w:rsid w:val="00467A4A"/>
    <w:rsid w:val="004756C6"/>
    <w:rsid w:val="00490344"/>
    <w:rsid w:val="004922E2"/>
    <w:rsid w:val="00497712"/>
    <w:rsid w:val="004B0E8F"/>
    <w:rsid w:val="004C4AFE"/>
    <w:rsid w:val="004D1CD9"/>
    <w:rsid w:val="00503F18"/>
    <w:rsid w:val="005104B7"/>
    <w:rsid w:val="005535B5"/>
    <w:rsid w:val="005567C2"/>
    <w:rsid w:val="005A2429"/>
    <w:rsid w:val="005A7F4F"/>
    <w:rsid w:val="005C2DAC"/>
    <w:rsid w:val="00604479"/>
    <w:rsid w:val="00604507"/>
    <w:rsid w:val="00616706"/>
    <w:rsid w:val="00620C9A"/>
    <w:rsid w:val="00621BF6"/>
    <w:rsid w:val="00623EF1"/>
    <w:rsid w:val="0063448D"/>
    <w:rsid w:val="0065345D"/>
    <w:rsid w:val="006648B8"/>
    <w:rsid w:val="00676D7D"/>
    <w:rsid w:val="00684176"/>
    <w:rsid w:val="006B5620"/>
    <w:rsid w:val="006D7C87"/>
    <w:rsid w:val="006E39F3"/>
    <w:rsid w:val="007132AF"/>
    <w:rsid w:val="00720F0F"/>
    <w:rsid w:val="00742B91"/>
    <w:rsid w:val="007D7694"/>
    <w:rsid w:val="007E4FD0"/>
    <w:rsid w:val="007F7BC7"/>
    <w:rsid w:val="00852581"/>
    <w:rsid w:val="0086422A"/>
    <w:rsid w:val="00864CA7"/>
    <w:rsid w:val="00885417"/>
    <w:rsid w:val="008A3CFB"/>
    <w:rsid w:val="008A75B0"/>
    <w:rsid w:val="008C73D4"/>
    <w:rsid w:val="008E6D5E"/>
    <w:rsid w:val="008F5810"/>
    <w:rsid w:val="00902D86"/>
    <w:rsid w:val="00952847"/>
    <w:rsid w:val="00973E24"/>
    <w:rsid w:val="009852EC"/>
    <w:rsid w:val="009D49C0"/>
    <w:rsid w:val="00A0622B"/>
    <w:rsid w:val="00A22DFA"/>
    <w:rsid w:val="00A365D9"/>
    <w:rsid w:val="00A40505"/>
    <w:rsid w:val="00A742E3"/>
    <w:rsid w:val="00AA2EED"/>
    <w:rsid w:val="00AC27A1"/>
    <w:rsid w:val="00AD1BE7"/>
    <w:rsid w:val="00AF0120"/>
    <w:rsid w:val="00B0042E"/>
    <w:rsid w:val="00B64BAB"/>
    <w:rsid w:val="00B7075B"/>
    <w:rsid w:val="00BB0C3D"/>
    <w:rsid w:val="00BE739F"/>
    <w:rsid w:val="00C02E9E"/>
    <w:rsid w:val="00C332DD"/>
    <w:rsid w:val="00CE6F0D"/>
    <w:rsid w:val="00D00016"/>
    <w:rsid w:val="00D1240C"/>
    <w:rsid w:val="00D32A7A"/>
    <w:rsid w:val="00D534C7"/>
    <w:rsid w:val="00D61217"/>
    <w:rsid w:val="00D87F6B"/>
    <w:rsid w:val="00D9412A"/>
    <w:rsid w:val="00DD02A0"/>
    <w:rsid w:val="00DD5EE2"/>
    <w:rsid w:val="00DF72B9"/>
    <w:rsid w:val="00E370E9"/>
    <w:rsid w:val="00E4314D"/>
    <w:rsid w:val="00E84C4E"/>
    <w:rsid w:val="00EF2583"/>
    <w:rsid w:val="00F734DF"/>
    <w:rsid w:val="00F90993"/>
    <w:rsid w:val="00F95022"/>
    <w:rsid w:val="00F97537"/>
    <w:rsid w:val="00FD6EAA"/>
    <w:rsid w:val="00FF5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D779"/>
  <w15:chartTrackingRefBased/>
  <w15:docId w15:val="{DEBFBC8F-9CA8-44B8-B9DC-6DD17861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9D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4B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B5F"/>
    <w:rPr>
      <w:lang w:val="es-ES"/>
    </w:rPr>
  </w:style>
  <w:style w:type="paragraph" w:styleId="Piedepgina">
    <w:name w:val="footer"/>
    <w:basedOn w:val="Normal"/>
    <w:link w:val="PiedepginaCar"/>
    <w:uiPriority w:val="99"/>
    <w:unhideWhenUsed/>
    <w:rsid w:val="003F4B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B5F"/>
    <w:rPr>
      <w:lang w:val="es-ES"/>
    </w:rPr>
  </w:style>
  <w:style w:type="table" w:styleId="Tablaconcuadrcula">
    <w:name w:val="Table Grid"/>
    <w:basedOn w:val="Tablanormal"/>
    <w:uiPriority w:val="59"/>
    <w:rsid w:val="00AC2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76D94"/>
    <w:pPr>
      <w:spacing w:after="0" w:line="360" w:lineRule="auto"/>
      <w:ind w:left="720"/>
      <w:contextualSpacing/>
    </w:pPr>
    <w:rPr>
      <w:rFonts w:ascii="Times New Roman" w:hAnsi="Times New Roman"/>
      <w:sz w:val="24"/>
    </w:rPr>
  </w:style>
  <w:style w:type="paragraph" w:customStyle="1" w:styleId="Default">
    <w:name w:val="Default"/>
    <w:rsid w:val="00973E24"/>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63448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448D"/>
    <w:rPr>
      <w:sz w:val="20"/>
      <w:szCs w:val="20"/>
      <w:lang w:val="es-ES"/>
    </w:rPr>
  </w:style>
  <w:style w:type="character" w:styleId="Refdenotaalpie">
    <w:name w:val="footnote reference"/>
    <w:basedOn w:val="Fuentedeprrafopredeter"/>
    <w:uiPriority w:val="99"/>
    <w:semiHidden/>
    <w:unhideWhenUsed/>
    <w:rsid w:val="0063448D"/>
    <w:rPr>
      <w:vertAlign w:val="superscript"/>
    </w:rPr>
  </w:style>
  <w:style w:type="character" w:styleId="Hipervnculo">
    <w:name w:val="Hyperlink"/>
    <w:basedOn w:val="Fuentedeprrafopredeter"/>
    <w:uiPriority w:val="99"/>
    <w:unhideWhenUsed/>
    <w:rsid w:val="0063448D"/>
    <w:rPr>
      <w:color w:val="0000FF" w:themeColor="hyperlink"/>
      <w:u w:val="single"/>
    </w:rPr>
  </w:style>
  <w:style w:type="character" w:styleId="Mencinsinresolver">
    <w:name w:val="Unresolved Mention"/>
    <w:basedOn w:val="Fuentedeprrafopredeter"/>
    <w:uiPriority w:val="99"/>
    <w:semiHidden/>
    <w:unhideWhenUsed/>
    <w:rsid w:val="0063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32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supen.fi.cr/Tramites/Tram_Detalle_Evento.aspx?evento=201901634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supen.fi.cr/Tramites/Tram_Detalle_Evento.aspx?evento=201901629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supen.fi.cr/Tramites/Tram_Detalle_Evento.aspx?evento=201901591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i.supen.fi.cr/Tramites/Tram_Detalle_Evento.aspx?evento=20190143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1F89B34C719CA4DBBAB508AA8C60A08" ma:contentTypeVersion="13" ma:contentTypeDescription="Crear nuevo documento." ma:contentTypeScope="" ma:versionID="5fc161d995d553d6ba0826999e240c32">
  <xsd:schema xmlns:xsd="http://www.w3.org/2001/XMLSchema" xmlns:xs="http://www.w3.org/2001/XMLSchema" xmlns:p="http://schemas.microsoft.com/office/2006/metadata/properties" xmlns:ns2="59edb153-39ed-4056-b12b-5a6ee259c2e4" xmlns:ns3="b54fad7e-1319-40d0-a36c-64ee330d2bd0" targetNamespace="http://schemas.microsoft.com/office/2006/metadata/properties" ma:root="true" ma:fieldsID="df5e8af7cfbcd88f2747e332040dae7a" ns2:_="" ns3:_="">
    <xsd:import namespace="59edb153-39ed-4056-b12b-5a6ee259c2e4"/>
    <xsd:import namespace="b54fad7e-1319-40d0-a36c-64ee330d2bd0"/>
    <xsd:element name="properties">
      <xsd:complexType>
        <xsd:sequence>
          <xsd:element name="documentManagement">
            <xsd:complexType>
              <xsd:all>
                <xsd:element ref="ns2:SharedWithUsers" minOccurs="0"/>
                <xsd:element ref="ns2:SharedWithDetails" minOccurs="0"/>
                <xsd:element ref="ns3:Evento"/>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fad7e-1319-40d0-a36c-64ee330d2bd0" elementFormDefault="qualified">
    <xsd:import namespace="http://schemas.microsoft.com/office/2006/documentManagement/types"/>
    <xsd:import namespace="http://schemas.microsoft.com/office/infopath/2007/PartnerControls"/>
    <xsd:element name="Evento" ma:index="10" ma:displayName="Evento" ma:format="Hyperlink" ma:internalName="Evento">
      <xsd:complexType>
        <xsd:complexContent>
          <xsd:extension base="dms:URL">
            <xsd:sequence>
              <xsd:element name="Url" type="dms:ValidUrl"/>
              <xsd:element name="Description" type="xsd:string"/>
            </xsd:sequence>
          </xsd:extension>
        </xsd:complexContent>
      </xsd:complex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vento xmlns="b54fad7e-1319-40d0-a36c-64ee330d2bd0">
      <Url>https://si.supen.fi.cr/Tramites/Tram_Detalle_Evento.aspx?evento=2019021241&amp;op=3</Url>
      <Description>2019021241</Description>
    </Even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15F1-D1A8-4CCB-8B8F-2F907E486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b54fad7e-1319-40d0-a36c-64ee330d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541973-E90D-4317-86A0-0C6B93F28A64}">
  <ds:schemaRefs>
    <ds:schemaRef ds:uri="http://schemas.microsoft.com/office/infopath/2007/PartnerControls"/>
    <ds:schemaRef ds:uri="http://purl.org/dc/terms/"/>
    <ds:schemaRef ds:uri="59edb153-39ed-4056-b12b-5a6ee259c2e4"/>
    <ds:schemaRef ds:uri="http://www.w3.org/XML/1998/namespace"/>
    <ds:schemaRef ds:uri="b54fad7e-1319-40d0-a36c-64ee330d2bd0"/>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86F6CC54-9D72-45D3-BBF7-5630EC7779C8}">
  <ds:schemaRefs>
    <ds:schemaRef ds:uri="http://schemas.microsoft.com/sharepoint/v3/contenttype/forms"/>
  </ds:schemaRefs>
</ds:datastoreItem>
</file>

<file path=customXml/itemProps4.xml><?xml version="1.0" encoding="utf-8"?>
<ds:datastoreItem xmlns:ds="http://schemas.openxmlformats.org/officeDocument/2006/customXml" ds:itemID="{EABAF4BF-892B-4A3C-BA82-A684171B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3147</Words>
  <Characters>17310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MatrizConsultaExternaSP-A-049.docx</vt:lpstr>
    </vt:vector>
  </TitlesOfParts>
  <Company/>
  <LinksUpToDate>false</LinksUpToDate>
  <CharactersWithSpaces>20417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MatrizConsultaExternaSP-A-049.docx</dc:title>
  <dc:subject/>
  <dc:creator>CESPEDES LOPEZ DAISY</dc:creator>
  <cp:keywords/>
  <dc:description/>
  <cp:lastModifiedBy>RODRIGUEZ BOVIERI GIANFRANCO</cp:lastModifiedBy>
  <cp:revision>2</cp:revision>
  <dcterms:created xsi:type="dcterms:W3CDTF">2019-05-22T20:03:00Z</dcterms:created>
  <dcterms:modified xsi:type="dcterms:W3CDTF">2019-05-22T20:03:00Z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0x01010061F89B34C719CA4DBBAB508AA8C60A08</vt:lpwstr>
  </property>
</Properties>
</file>